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i/>
          <w:iCs/>
          <w:color w:val="5A6068"/>
          <w:sz w:val="18"/>
          <w:szCs w:val="18"/>
        </w:rPr>
        <w:t xml:space="preserve">DeineStimme.org | Zuständigkeits-Engine v0.5 — FR/IT-Erweiterung</w:t>
      </w:r>
    </w:p>
    <w:p>
      <w:pPr>
        <w:spacing w:after="60"/>
      </w:pPr>
      <w:r>
        <w:rPr>
          <w:b/>
          <w:bCs/>
          <w:sz w:val="40"/>
          <w:szCs w:val="40"/>
        </w:rPr>
        <w:t xml:space="preserve">Zuständigkeits-Engine</w:t>
      </w:r>
    </w:p>
    <w:p>
      <w:pPr>
        <w:spacing w:after="60"/>
      </w:pPr>
      <w:r>
        <w:rPr>
          <w:sz w:val="24"/>
          <w:szCs w:val="24"/>
        </w:rPr>
        <w:t xml:space="preserve">Technische Spezifikation v0.5 — Länder-Adapter Frankreich + Italien</w:t>
      </w:r>
    </w:p>
    <w:p>
      <w:pPr>
        <w:spacing w:after="60"/>
      </w:pPr>
      <w:r>
        <w:rPr>
          <w:sz w:val="22"/>
          <w:szCs w:val="22"/>
        </w:rPr>
        <w:t xml:space="preserve">Asymmetrische Sub-Adapter, EPCI-Klassen-Discriminator, 7-Stufen-Override-Register</w:t>
      </w:r>
    </w:p>
    <w:p>
      <w:pPr>
        <w:spacing w:after="60"/>
      </w:pPr>
      <w:r>
        <w:rPr>
          <w:sz w:val="22"/>
          <w:szCs w:val="22"/>
        </w:rPr>
        <w:t xml:space="preserve">Basis: Spec v0.4 (DE/NL/EU); neue Stufe 3 „Transversale Durchbruchskompetenz“</w:t>
      </w:r>
    </w:p>
    <w:p>
      <w:pPr>
        <w:spacing w:after="180"/>
      </w:pPr>
      <w:r>
        <w:rPr>
          <w:sz w:val="20"/>
          <w:szCs w:val="20"/>
        </w:rPr>
        <w:t xml:space="preserve">DeineStimme.org | Strauss &amp; Reinemann GbR | Stand: 19. April 2026</w:t>
      </w:r>
    </w:p>
    <w:p>
      <w:pPr>
        <w:spacing w:after="360"/>
      </w:pPr>
      <w:r>
        <w:rPr>
          <w:i/>
          <w:iCs/>
          <w:color w:val="5A6068"/>
          <w:sz w:val="18"/>
          <w:szCs w:val="18"/>
        </w:rPr>
        <w:t xml:space="preserve">AGPL-3.0 | Quellen: Constitution française + CGCT + DGCL | Costituzione + Statuti Speciali + TUEL | CE + Corte Costituzionale | data.gouv.fr + Normattiva + AgID</w:t>
      </w:r>
    </w:p>
    <w:p>
      <w:pPr>
        <w:pStyle w:val="Heading1"/>
        <w:spacing w:after="180" w:before="360"/>
      </w:pPr>
      <w:r>
        <w:rPr>
          <w:b/>
          <w:bCs/>
        </w:rPr>
        <w:t xml:space="preserve">1. Kurzfazit</w:t>
      </w:r>
    </w:p>
    <w:p>
      <w:pPr>
        <w:spacing w:after="120" w:line="300"/>
      </w:pPr>
      <w:r>
        <w:t xml:space="preserve">v0.4 etabliert Core Model + Country Adapter Interface + 6-Stufen-Override-Register auf Basis von DE, NL und EU. v0.5 erweitert das Modul um zwei fundamental unterschiedliche Rechtsräume: Frankreich als dezentralisierten Einheitsstaat nach Art. 1 der Verfassung (post-loi-NOTRe 2015) und Italien als asymmetrisch regionalisierten Staat mit der invertierten Residualregel des Art. 117 Cost.</w:t>
      </w:r>
    </w:p>
    <w:p>
      <w:pPr>
        <w:spacing w:after="120" w:line="300"/>
      </w:pPr>
      <w:r>
        <w:t xml:space="preserve">Drei strukturelle Neuerungen werden erzwungen. Erstens: Die italienische Materien-Trasversalität (Umweltschutz, Wettbewerbsschutz, LEP) verlangt eine eigene Override-Kategorie, weil der Zentralstaat regional-exklusive Kompetenzen transversal durchbrechen kann. Das Register wird von 6 auf 7 Stufen erweitert — neue Stufe 3 „Transversale Durchbruchskompetenz“. Der Mechanismus ist cross-adapter: DE Art. 84/85 GG (Bundesaufsicht) und NL medebewind folgen derselben Logik.</w:t>
      </w:r>
    </w:p>
    <w:p>
      <w:pPr>
        <w:spacing w:after="120" w:line="300"/>
      </w:pPr>
      <w:r>
        <w:t xml:space="preserve">Zweitens: Französische collectivités à statut particulier (Paris, Métropole de Lyon, Corse) und italienische Regioni a statuto speciale (Sicilia, Sardegna, Valle d'Aosta, Friuli-Venezia Giulia, Trentino-Alto Adige mit den autonomen Provinzen Trento und Bolzano) sowie die französischen Übersee-Regime nach Art. 73 und 74 der Verfassung sind keine Flags, sondern eigenständige Normkorpora. Die v0.5-Architektur führt deshalb das Konzept der asymmetrischen Sub-Adapter ein.</w:t>
      </w:r>
    </w:p>
    <w:p>
      <w:pPr>
        <w:spacing w:after="120" w:line="300"/>
      </w:pPr>
      <w:r>
        <w:t xml:space="preserve">Drittens: Die französische EPCI-Typologie (communauté de communes, d'agglomération, urbaine, métropole) wird als epci_class-Discriminator mit eigenen Pflichtkompetenz-Blöcken und Delegationsmechanismen modelliert. Im MVP-Modus bleibt „EPCI“ als Sammelkategorie zulässig; in der Produktionsvariante ist die Klasse Pflichtfeld.</w:t>
      </w:r>
    </w:p>
    <w:p>
      <w:pPr>
        <w:pStyle w:val="Heading1"/>
        <w:spacing w:after="180" w:before="360"/>
      </w:pPr>
      <w:r>
        <w:rPr>
          <w:b/>
          <w:bCs/>
        </w:rPr>
        <w:t xml:space="preserve">2. Architektur-Update gegenüber v0.4</w:t>
      </w:r>
    </w:p>
    <w:p>
      <w:pPr>
        <w:pStyle w:val="Heading2"/>
        <w:spacing w:after="120" w:before="240"/>
      </w:pPr>
      <w:r>
        <w:rPr>
          <w:b/>
          <w:bCs/>
        </w:rPr>
        <w:t xml:space="preserve">2.1 7-Stufen-Override-Register (Breaking Change)</w:t>
      </w:r>
    </w:p>
    <w:p>
      <w:pPr>
        <w:spacing w:after="120" w:line="300"/>
      </w:pPr>
      <w:r>
        <w:t xml:space="preserve">Das Register wird um eine Stufe erweitert, die bereits aus DE/NL latent vorhanden war, aber durch IT-Materien-Trasversalität erst explizit wird. Neue Stufe 3 drückt alle bestehenden v0.4-Stufen 3–6 um einen Platz nach unten.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2800"/>
        <w:gridCol w:w="5526"/>
      </w:tblGrid>
      <w:tr>
        <w:trPr>
          <w:tblHeader/>
        </w:trPr>
        <w:tc>
          <w:tcPr>
            <w:tcW w:type="dxa" w:w="7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Stufe</w:t>
            </w:r>
          </w:p>
        </w:tc>
        <w:tc>
          <w:tcPr>
            <w:tcW w:type="dxa" w:w="28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Typ</w:t>
            </w:r>
          </w:p>
        </w:tc>
        <w:tc>
          <w:tcPr>
            <w:tcW w:type="dxa" w:w="5526"/>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Beispiel</w:t>
            </w:r>
          </w:p>
        </w:tc>
      </w:tr>
      <w:tr>
        <w:tc>
          <w:tcPr>
            <w:tcW w:type="dxa" w:w="7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1</w:t>
            </w:r>
          </w:p>
        </w:tc>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Unionsrechtliche Exklusiv-/Vorrangregel</w:t>
            </w:r>
          </w:p>
        </w:tc>
        <w:tc>
          <w:tcPr>
            <w:tcW w:type="dxa" w:w="55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Zollunion, Währungspolitik Eurozone (Art. 3 AEUV)</w:t>
            </w:r>
          </w:p>
        </w:tc>
      </w:tr>
      <w:tr>
        <w:tc>
          <w:tcPr>
            <w:tcW w:type="dxa" w:w="7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2</w:t>
            </w:r>
          </w:p>
        </w:tc>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Sektorspezifischer Unionsmechanismus</w:t>
            </w:r>
          </w:p>
        </w:tc>
        <w:tc>
          <w:tcPr>
            <w:tcW w:type="dxa" w:w="55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DSGVO one-stop-shop, ECN-Fallzuweisung, IMI-Kooperation</w:t>
            </w:r>
          </w:p>
        </w:tc>
      </w:tr>
      <w:tr>
        <w:tc>
          <w:tcPr>
            <w:tcW w:type="dxa" w:w="7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3 (neu)</w:t>
            </w:r>
          </w:p>
        </w:tc>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Transversale nationale Durchbruchskompetenz</w:t>
            </w:r>
          </w:p>
        </w:tc>
        <w:tc>
          <w:tcPr>
            <w:tcW w:type="dxa" w:w="55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IT: materie trasversali (Umwelt, Wettbewerb, LEP) durchbrechen regionale Exklusivität; DE: Art. 84/85 GG Bundesaufsicht; NL: medebewind; FR: intérêt national über Conseil-constitutionnel-Judikatur</w:t>
            </w:r>
          </w:p>
        </w:tc>
      </w:tr>
      <w:tr>
        <w:tc>
          <w:tcPr>
            <w:tcW w:type="dxa" w:w="7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4 (alt 3)</w:t>
            </w:r>
          </w:p>
        </w:tc>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Nationale Spezialzuständigkeit</w:t>
            </w:r>
          </w:p>
        </w:tc>
        <w:tc>
          <w:tcPr>
            <w:tcW w:type="dxa" w:w="55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Kaderwet zbo (NL), LeiKa-Typ 1 (DE), enumerative Materien Art. 117 Abs. 2 Cost. (IT), régalienne Kompetenzen (FR)</w:t>
            </w:r>
          </w:p>
        </w:tc>
      </w:tr>
      <w:tr>
        <w:tc>
          <w:tcPr>
            <w:tcW w:type="dxa" w:w="7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5 (alt 4)</w:t>
            </w:r>
          </w:p>
        </w:tc>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Zulässige Delegation / Mandat</w:t>
            </w:r>
          </w:p>
        </w:tc>
        <w:tc>
          <w:tcPr>
            <w:tcW w:type="dxa" w:w="55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Titel 10.1 Awb; § 14 VwVfG; Konvention zwischen Métropole und Département (FR); Norme di attuazione (IT)</w:t>
            </w:r>
          </w:p>
        </w:tc>
      </w:tr>
      <w:tr>
        <w:tc>
          <w:tcPr>
            <w:tcW w:type="dxa" w:w="7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6 (alt 5)</w:t>
            </w:r>
          </w:p>
        </w:tc>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Weiterleitungs-/Kooperationspflicht</w:t>
            </w:r>
          </w:p>
        </w:tc>
        <w:tc>
          <w:tcPr>
            <w:tcW w:type="dxa" w:w="55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2:3 Awb, Art. 6:15 Awb, § 3 Abs. 2 VwVfG</w:t>
            </w:r>
          </w:p>
        </w:tc>
      </w:tr>
      <w:tr>
        <w:tc>
          <w:tcPr>
            <w:tcW w:type="dxa" w:w="7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7 (alt 6)</w:t>
            </w:r>
          </w:p>
        </w:tc>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Gerichtlicher Eskalationspfad</w:t>
            </w:r>
          </w:p>
        </w:tc>
        <w:tc>
          <w:tcPr>
            <w:tcW w:type="dxa" w:w="55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267 AEUV; Controlimiti + Sentenza 269/2017 für IT; Arcelor-équivalence-Prüfung für FR</w:t>
            </w:r>
          </w:p>
        </w:tc>
      </w:tr>
    </w:tbl>
    <w:p>
      <w:pPr>
        <w:spacing w:after="120" w:line="300"/>
      </w:pPr>
      <w:r>
        <w:rPr>
          <w:i/>
          <w:iCs/>
          <w:color w:val="5A6068"/>
        </w:rPr>
        <w:t xml:space="preserve">Migration: Adapter, die Stufen 3–6 aus v0.4 referenzieren, müssen auf 4–7 aktualisiert werden. Die semantischen Grenzen bleiben unverändert; nur die Nummerierung verschiebt sich.</w:t>
      </w:r>
    </w:p>
    <w:p>
      <w:pPr>
        <w:pStyle w:val="Heading2"/>
        <w:spacing w:after="120" w:before="240"/>
      </w:pPr>
      <w:r>
        <w:rPr>
          <w:b/>
          <w:bCs/>
        </w:rPr>
        <w:t xml:space="preserve">2.2 Asymmetrische Sub-Adapter</w:t>
      </w:r>
    </w:p>
    <w:p>
      <w:pPr>
        <w:spacing w:after="120" w:line="300"/>
      </w:pPr>
      <w:r>
        <w:t xml:space="preserve">Country Adapter können ab v0.5 Sub-Adapter registrieren. Ein Sub-Adapter ist ein Normkorpus, der für eine spezifische Gebietseinheit gilt und den Standard-Länder-Adapter in dieser Einheit verdrängt. Sub-Adapter werden vor der fachlichen Zuständigkeitsprüfung durch einen special_status_detector ausgewählt.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000"/>
        <w:gridCol w:w="5426"/>
      </w:tblGrid>
      <w:tr>
        <w:trPr>
          <w:tblHeader/>
        </w:trPr>
        <w:tc>
          <w:tcPr>
            <w:tcW w:type="dxa" w:w="16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Land</w:t>
            </w:r>
          </w:p>
        </w:tc>
        <w:tc>
          <w:tcPr>
            <w:tcW w:type="dxa" w:w="20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Sub-Adapter-Familie</w:t>
            </w:r>
          </w:p>
        </w:tc>
        <w:tc>
          <w:tcPr>
            <w:tcW w:type="dxa" w:w="5426"/>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Einheiten</w:t>
            </w:r>
          </w:p>
        </w:tc>
      </w:tr>
      <w:tr>
        <w:tc>
          <w:tcPr>
            <w:tcW w:type="dxa" w:w="1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IT</w:t>
            </w:r>
          </w:p>
        </w:tc>
        <w:tc>
          <w:tcPr>
            <w:tcW w:type="dxa" w:w="20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Regioni a statuto speciale</w:t>
            </w:r>
          </w:p>
        </w:tc>
        <w:tc>
          <w:tcPr>
            <w:tcW w:type="dxa" w:w="54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Sicilia, Sardegna, Valle d'Aosta, Friuli-Venezia Giulia, Trentino-Alto Adige → je eigene Durchführung; TAA zusätzlich auf Provinzebene aufgelöst (Trento, Bolzano). 7 Regelwerke gesamt.</w:t>
            </w:r>
          </w:p>
        </w:tc>
      </w:tr>
      <w:tr>
        <w:tc>
          <w:tcPr>
            <w:tcW w:type="dxa" w:w="1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FR</w:t>
            </w:r>
          </w:p>
        </w:tc>
        <w:tc>
          <w:tcPr>
            <w:tcW w:type="dxa" w:w="20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Collectivités à statut particulier</w:t>
            </w:r>
          </w:p>
        </w:tc>
        <w:tc>
          <w:tcPr>
            <w:tcW w:type="dxa" w:w="54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Ville de Paris (Art. L2512-1 CGCT), Métropole de Lyon (Art. L3611-1 CGCT), Collectivité de Corse (Art. L4421-1 CGCT)</w:t>
            </w:r>
          </w:p>
        </w:tc>
      </w:tr>
      <w:tr>
        <w:tc>
          <w:tcPr>
            <w:tcW w:type="dxa" w:w="1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FR</w:t>
            </w:r>
          </w:p>
        </w:tc>
        <w:tc>
          <w:tcPr>
            <w:tcW w:type="dxa" w:w="20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Outre-mer Art. 73 (identité législative + Lockerung)</w:t>
            </w:r>
          </w:p>
        </w:tc>
        <w:tc>
          <w:tcPr>
            <w:tcW w:type="dxa" w:w="54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Guadeloupe, Guyane, Martinique, La Réunion, Mayotte — mit Anpassung, Habilitation, Experiment</w:t>
            </w:r>
          </w:p>
        </w:tc>
      </w:tr>
      <w:tr>
        <w:tc>
          <w:tcPr>
            <w:tcW w:type="dxa" w:w="1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FR</w:t>
            </w:r>
          </w:p>
        </w:tc>
        <w:tc>
          <w:tcPr>
            <w:tcW w:type="dxa" w:w="20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Outre-mer Art. 74 (spécialité législative)</w:t>
            </w:r>
          </w:p>
        </w:tc>
        <w:tc>
          <w:tcPr>
            <w:tcW w:type="dxa" w:w="54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Saint-Barthélemy, Saint-Martin, Saint-Pierre-et-Miquelon, Wallis-et-Futuna, Polynésie française — je eigenes organisches Statutsgesetz</w:t>
            </w:r>
          </w:p>
        </w:tc>
      </w:tr>
    </w:tbl>
    <w:p>
      <w:pPr>
        <w:spacing w:after="120" w:line="300"/>
      </w:pPr>
      <w:r>
        <w:t xml:space="preserve">MVP-Modus: generischer Art74-Adapter, generischer Statuto-Speciale-Adapter. Produktionsvariante: je Einheit ein eigenes Regelwerk, versioniert nach Normquelle und Geltungsdatum (Friuli-Venezia Giulia z. B. hat 2026er Statutsänderung).</w:t>
      </w:r>
    </w:p>
    <w:p>
      <w:pPr>
        <w:pStyle w:val="Heading2"/>
        <w:spacing w:after="120" w:before="240"/>
      </w:pPr>
      <w:r>
        <w:rPr>
          <w:b/>
          <w:bCs/>
        </w:rPr>
        <w:t xml:space="preserve">2.3 EPCI-Klassen-Discriminator (FR-spezifisch)</w:t>
      </w:r>
    </w:p>
    <w:p>
      <w:pPr>
        <w:spacing w:after="120" w:line="300"/>
      </w:pPr>
      <w:r>
        <w:t xml:space="preserve">Die vier EPCI-Hauptklassen haben unterschiedliche Pflichtkompetenz-Blöcke und Delegationsmechanismen. Ein einziger EPCI-Knoten produziert false positives.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700"/>
        <w:gridCol w:w="2300"/>
        <w:gridCol w:w="5026"/>
      </w:tblGrid>
      <w:tr>
        <w:trPr>
          <w:tblHeader/>
        </w:trPr>
        <w:tc>
          <w:tcPr>
            <w:tcW w:type="dxa" w:w="17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Klasse</w:t>
            </w:r>
          </w:p>
        </w:tc>
        <w:tc>
          <w:tcPr>
            <w:tcW w:type="dxa" w:w="23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Pflichtkern (CGCT)</w:t>
            </w:r>
          </w:p>
        </w:tc>
        <w:tc>
          <w:tcPr>
            <w:tcW w:type="dxa" w:w="5026"/>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Besonderheiten</w:t>
            </w:r>
          </w:p>
        </w:tc>
      </w:tr>
      <w:tr>
        <w:tc>
          <w:tcPr>
            <w:tcW w:type="dxa" w:w="17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Communauté de communes (CC)</w:t>
            </w:r>
          </w:p>
        </w:tc>
        <w:tc>
          <w:tcPr>
            <w:tcW w:type="dxa" w:w="23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L5214-16: Raumordnung, wirtschaftliche Entwicklung, GEMAPI, Aufnahmeflächen gens du voyage, Abfall</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Delegationsmöglichkeiten für Wasser/Abwasser; intérêt communautaire binnen 2 Jahren zu definieren, sonst Gesamtkompetenz bei der Gemeinschaft</w:t>
            </w:r>
          </w:p>
        </w:tc>
      </w:tr>
      <w:tr>
        <w:tc>
          <w:tcPr>
            <w:tcW w:type="dxa" w:w="17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Communauté d'agglomération (CA)</w:t>
            </w:r>
          </w:p>
        </w:tc>
        <w:tc>
          <w:tcPr>
            <w:tcW w:type="dxa" w:w="23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L5216-5: wirtschaftliche Entwicklung, Raumordnung inkl. Mobilität, sozialer Wohnungsbau, Stadtpolitik, GEMAPI</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Breiterer Pflichtkatalog; intérêt-communautaire-Logik</w:t>
            </w:r>
          </w:p>
        </w:tc>
      </w:tr>
      <w:tr>
        <w:tc>
          <w:tcPr>
            <w:tcW w:type="dxa" w:w="17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Communauté urbaine (CU)</w:t>
            </w:r>
          </w:p>
        </w:tc>
        <w:tc>
          <w:tcPr>
            <w:tcW w:type="dxa" w:w="23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L5215-20: kollektive Dienste, Umwelt, zusätzliche Pflichtblöcke</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Keine optionalen Kompetenzen im klassischen Sinn</w:t>
            </w:r>
          </w:p>
        </w:tc>
      </w:tr>
      <w:tr>
        <w:tc>
          <w:tcPr>
            <w:tcW w:type="dxa" w:w="17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Métropole (MET)</w:t>
            </w:r>
          </w:p>
        </w:tc>
        <w:tc>
          <w:tcPr>
            <w:tcW w:type="dxa" w:w="23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L5217-2: sehr breite Pflichtblöcke + konventionelle Übernahme staatlicher/departementaler/regionaler Zuständigkeiten</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Sonderregime Métropole du Grand Paris und Métropole de Lyon (Lyon = collectivité à statut particulier, s. 2.2)</w:t>
            </w:r>
          </w:p>
        </w:tc>
      </w:tr>
    </w:tbl>
    <w:p>
      <w:pPr>
        <w:pStyle w:val="Heading2"/>
        <w:spacing w:after="120" w:before="240"/>
      </w:pPr>
      <w:r>
        <w:rPr>
          <w:b/>
          <w:bCs/>
        </w:rPr>
        <w:t xml:space="preserve">2.4 Output-Schema-Erweiterung</w:t>
      </w:r>
    </w:p>
    <w:p>
      <w:pPr>
        <w:spacing w:after="120" w:line="300"/>
      </w:pPr>
      <w:r>
        <w:t xml:space="preserve">Die authorities-Liste aus v0.4 erhält drei neue optionale Felder. Diese bleiben null, wenn kein Sub-Adapter greift.</w:t>
      </w:r>
    </w:p>
    <w:p>
      <w:pPr>
        <w:shd w:fill="F2F2F2" w:val="clear"/>
        <w:spacing w:after="0" w:line="240"/>
      </w:pPr>
      <w:r>
        <w:rPr>
          <w:rFonts w:ascii="Consolas" w:cs="Consolas" w:eastAsia="Consolas" w:hAnsi="Consolas"/>
          <w:sz w:val="18"/>
          <w:szCs w:val="18"/>
        </w:rPr>
        <w:t xml:space="preserve">{</w:t>
      </w:r>
    </w:p>
    <w:p>
      <w:pPr>
        <w:shd w:fill="F2F2F2" w:val="clear"/>
        <w:spacing w:after="0" w:line="240"/>
      </w:pPr>
      <w:r>
        <w:rPr>
          <w:rFonts w:ascii="Consolas" w:cs="Consolas" w:eastAsia="Consolas" w:hAnsi="Consolas"/>
          <w:sz w:val="18"/>
          <w:szCs w:val="18"/>
        </w:rPr>
        <w:t xml:space="preserve">  "name": "Regione Autonoma della Sardegna",</w:t>
      </w:r>
    </w:p>
    <w:p>
      <w:pPr>
        <w:shd w:fill="F2F2F2" w:val="clear"/>
        <w:spacing w:after="0" w:line="240"/>
      </w:pPr>
      <w:r>
        <w:rPr>
          <w:rFonts w:ascii="Consolas" w:cs="Consolas" w:eastAsia="Consolas" w:hAnsi="Consolas"/>
          <w:sz w:val="18"/>
          <w:szCs w:val="18"/>
        </w:rPr>
        <w:t xml:space="preserve">  "level": "Regione",</w:t>
      </w:r>
    </w:p>
    <w:p>
      <w:pPr>
        <w:shd w:fill="F2F2F2" w:val="clear"/>
        <w:spacing w:after="0" w:line="240"/>
      </w:pPr>
      <w:r>
        <w:rPr>
          <w:rFonts w:ascii="Consolas" w:cs="Consolas" w:eastAsia="Consolas" w:hAnsi="Consolas"/>
          <w:sz w:val="18"/>
          <w:szCs w:val="18"/>
        </w:rPr>
        <w:t xml:space="preserve">  "sub_adapter_id": "it.statuto_speciale.sardegna",</w:t>
      </w:r>
    </w:p>
    <w:p>
      <w:pPr>
        <w:shd w:fill="F2F2F2" w:val="clear"/>
        <w:spacing w:after="0" w:line="240"/>
      </w:pPr>
      <w:r>
        <w:rPr>
          <w:rFonts w:ascii="Consolas" w:cs="Consolas" w:eastAsia="Consolas" w:hAnsi="Consolas"/>
          <w:sz w:val="18"/>
          <w:szCs w:val="18"/>
        </w:rPr>
        <w:t xml:space="preserve">  "statuto_speciale": true,</w:t>
      </w:r>
    </w:p>
    <w:p>
      <w:pPr>
        <w:shd w:fill="F2F2F2" w:val="clear"/>
        <w:spacing w:after="0" w:line="240"/>
      </w:pPr>
      <w:r>
        <w:rPr>
          <w:rFonts w:ascii="Consolas" w:cs="Consolas" w:eastAsia="Consolas" w:hAnsi="Consolas"/>
          <w:sz w:val="18"/>
          <w:szCs w:val="18"/>
        </w:rPr>
        <w:t xml:space="preserve">  "epci_class": null,</w:t>
      </w:r>
    </w:p>
    <w:p>
      <w:pPr>
        <w:shd w:fill="F2F2F2" w:val="clear"/>
        <w:spacing w:after="0" w:line="240"/>
      </w:pPr>
      <w:r>
        <w:rPr>
          <w:rFonts w:ascii="Consolas" w:cs="Consolas" w:eastAsia="Consolas" w:hAnsi="Consolas"/>
          <w:sz w:val="18"/>
          <w:szCs w:val="18"/>
        </w:rPr>
        <w:t xml:space="preserve">  "art73_74_regime": null,</w:t>
      </w:r>
    </w:p>
    <w:p>
      <w:pPr>
        <w:shd w:fill="F2F2F2" w:val="clear"/>
        <w:spacing w:after="0" w:line="240"/>
      </w:pPr>
      <w:r>
        <w:rPr>
          <w:rFonts w:ascii="Consolas" w:cs="Consolas" w:eastAsia="Consolas" w:hAnsi="Consolas"/>
          <w:sz w:val="18"/>
          <w:szCs w:val="18"/>
        </w:rPr>
        <w:t xml:space="preserve">  "category": "zustaendig",</w:t>
      </w:r>
    </w:p>
    <w:p>
      <w:pPr>
        <w:shd w:fill="F2F2F2" w:val="clear"/>
        <w:spacing w:after="0" w:line="240"/>
      </w:pPr>
      <w:r>
        <w:rPr>
          <w:rFonts w:ascii="Consolas" w:cs="Consolas" w:eastAsia="Consolas" w:hAnsi="Consolas"/>
          <w:sz w:val="18"/>
          <w:szCs w:val="18"/>
        </w:rPr>
        <w:t xml:space="preserve">  "role": "legislative exclusive per Statuto Art. 3",</w:t>
      </w:r>
    </w:p>
    <w:p>
      <w:pPr>
        <w:shd w:fill="F2F2F2" w:val="clear"/>
        <w:spacing w:after="0" w:line="240"/>
      </w:pPr>
      <w:r>
        <w:rPr>
          <w:rFonts w:ascii="Consolas" w:cs="Consolas" w:eastAsia="Consolas" w:hAnsi="Consolas"/>
          <w:sz w:val="18"/>
          <w:szCs w:val="18"/>
        </w:rPr>
        <w:t xml:space="preserve">  "basis": ["Cost. Art. 116", "Statuto Sardegna Art. 3"]</w:t>
      </w:r>
    </w:p>
    <w:p>
      <w:pPr>
        <w:shd w:fill="F2F2F2" w:val="clear"/>
        <w:spacing w:after="0" w:line="240"/>
      </w:pPr>
      <w:r>
        <w:rPr>
          <w:rFonts w:ascii="Consolas" w:cs="Consolas" w:eastAsia="Consolas" w:hAnsi="Consolas"/>
          <w:sz w:val="18"/>
          <w:szCs w:val="18"/>
        </w:rPr>
        <w:t xml:space="preserve">}</w:t>
      </w:r>
    </w:p>
    <w:p>
      <w:pPr>
        <w:pStyle w:val="Heading2"/>
        <w:spacing w:after="120" w:before="240"/>
      </w:pPr>
      <w:r>
        <w:rPr>
          <w:b/>
          <w:bCs/>
        </w:rPr>
        <w:t xml:space="preserve">2.5 Adapter-Selektor-Flow</w:t>
      </w:r>
    </w:p>
    <w:p>
      <w:pPr>
        <w:spacing w:after="120" w:line="300"/>
      </w:pPr>
      <w:r>
        <w:t xml:space="preserve">Die Auswahl des korrekten Sub-Adapters erfolgt vor der Schicht-B-Kompetenzprüfung. Reihenfolge: Land → Sonderstatus-Detektion → fallback auf Standard-Länder-Adapter.</w:t>
      </w:r>
    </w:p>
    <w:p>
      <w:pPr>
        <w:shd w:fill="F2F2F2" w:val="clear"/>
        <w:spacing w:after="0" w:line="240"/>
      </w:pPr>
      <w:r>
        <w:rPr>
          <w:rFonts w:ascii="Consolas" w:cs="Consolas" w:eastAsia="Consolas" w:hAnsi="Consolas"/>
          <w:sz w:val="18"/>
          <w:szCs w:val="18"/>
        </w:rPr>
        <w:t xml:space="preserve">resolveAdapter(input):</w:t>
      </w:r>
    </w:p>
    <w:p>
      <w:pPr>
        <w:shd w:fill="F2F2F2" w:val="clear"/>
        <w:spacing w:after="0" w:line="240"/>
      </w:pPr>
      <w:r>
        <w:rPr>
          <w:rFonts w:ascii="Consolas" w:cs="Consolas" w:eastAsia="Consolas" w:hAnsi="Consolas"/>
          <w:sz w:val="18"/>
          <w:szCs w:val="18"/>
        </w:rPr>
        <w:t xml:space="preserve">  country = detect_country(input)</w:t>
      </w:r>
    </w:p>
    <w:p>
      <w:pPr>
        <w:shd w:fill="F2F2F2" w:val="clear"/>
        <w:spacing w:after="0" w:line="240"/>
      </w:pPr>
      <w:r>
        <w:rPr>
          <w:rFonts w:ascii="Consolas" w:cs="Consolas" w:eastAsia="Consolas" w:hAnsi="Consolas"/>
          <w:sz w:val="18"/>
          <w:szCs w:val="18"/>
        </w:rPr>
        <w:t xml:space="preserve">  switch country:</w:t>
      </w:r>
    </w:p>
    <w:p>
      <w:pPr>
        <w:shd w:fill="F2F2F2" w:val="clear"/>
        <w:spacing w:after="0" w:line="240"/>
      </w:pPr>
      <w:r>
        <w:rPr>
          <w:rFonts w:ascii="Consolas" w:cs="Consolas" w:eastAsia="Consolas" w:hAnsi="Consolas"/>
          <w:sz w:val="18"/>
          <w:szCs w:val="18"/>
        </w:rPr>
        <w:t xml:space="preserve">    case IT:</w:t>
      </w:r>
    </w:p>
    <w:p>
      <w:pPr>
        <w:shd w:fill="F2F2F2" w:val="clear"/>
        <w:spacing w:after="0" w:line="240"/>
      </w:pPr>
      <w:r>
        <w:rPr>
          <w:rFonts w:ascii="Consolas" w:cs="Consolas" w:eastAsia="Consolas" w:hAnsi="Consolas"/>
          <w:sz w:val="18"/>
          <w:szCs w:val="18"/>
        </w:rPr>
        <w:t xml:space="preserve">      if is_statuto_speciale(input.territorium):</w:t>
      </w:r>
    </w:p>
    <w:p>
      <w:pPr>
        <w:shd w:fill="F2F2F2" w:val="clear"/>
        <w:spacing w:after="0" w:line="240"/>
      </w:pPr>
      <w:r>
        <w:rPr>
          <w:rFonts w:ascii="Consolas" w:cs="Consolas" w:eastAsia="Consolas" w:hAnsi="Consolas"/>
          <w:sz w:val="18"/>
          <w:szCs w:val="18"/>
        </w:rPr>
        <w:t xml:space="preserve">        return select_it_sub_adapter(input.territorium)</w:t>
      </w:r>
    </w:p>
    <w:p>
      <w:pPr>
        <w:shd w:fill="F2F2F2" w:val="clear"/>
        <w:spacing w:after="0" w:line="240"/>
      </w:pPr>
      <w:r>
        <w:rPr>
          <w:rFonts w:ascii="Consolas" w:cs="Consolas" w:eastAsia="Consolas" w:hAnsi="Consolas"/>
          <w:sz w:val="18"/>
          <w:szCs w:val="18"/>
        </w:rPr>
        <w:t xml:space="preserve">      return it_standard_adapter</w:t>
      </w:r>
    </w:p>
    <w:p>
      <w:pPr>
        <w:shd w:fill="F2F2F2" w:val="clear"/>
        <w:spacing w:after="0" w:line="240"/>
      </w:pPr>
      <w:r>
        <w:rPr>
          <w:rFonts w:ascii="Consolas" w:cs="Consolas" w:eastAsia="Consolas" w:hAnsi="Consolas"/>
          <w:sz w:val="18"/>
          <w:szCs w:val="18"/>
        </w:rPr>
        <w:t xml:space="preserve">    case FR:</w:t>
      </w:r>
    </w:p>
    <w:p>
      <w:pPr>
        <w:shd w:fill="F2F2F2" w:val="clear"/>
        <w:spacing w:after="0" w:line="240"/>
      </w:pPr>
      <w:r>
        <w:rPr>
          <w:rFonts w:ascii="Consolas" w:cs="Consolas" w:eastAsia="Consolas" w:hAnsi="Consolas"/>
          <w:sz w:val="18"/>
          <w:szCs w:val="18"/>
        </w:rPr>
        <w:t xml:space="preserve">      if is_paris(input.territorium):    return fr_paris_adapter</w:t>
      </w:r>
    </w:p>
    <w:p>
      <w:pPr>
        <w:shd w:fill="F2F2F2" w:val="clear"/>
        <w:spacing w:after="0" w:line="240"/>
      </w:pPr>
      <w:r>
        <w:rPr>
          <w:rFonts w:ascii="Consolas" w:cs="Consolas" w:eastAsia="Consolas" w:hAnsi="Consolas"/>
          <w:sz w:val="18"/>
          <w:szCs w:val="18"/>
        </w:rPr>
        <w:t xml:space="preserve">      if is_lyon_metropole(input):        return fr_lyon_adapter</w:t>
      </w:r>
    </w:p>
    <w:p>
      <w:pPr>
        <w:shd w:fill="F2F2F2" w:val="clear"/>
        <w:spacing w:after="0" w:line="240"/>
      </w:pPr>
      <w:r>
        <w:rPr>
          <w:rFonts w:ascii="Consolas" w:cs="Consolas" w:eastAsia="Consolas" w:hAnsi="Consolas"/>
          <w:sz w:val="18"/>
          <w:szCs w:val="18"/>
        </w:rPr>
        <w:t xml:space="preserve">      if is_corse(input.territorium):     return fr_corse_adapter</w:t>
      </w:r>
    </w:p>
    <w:p>
      <w:pPr>
        <w:shd w:fill="F2F2F2" w:val="clear"/>
        <w:spacing w:after="0" w:line="240"/>
      </w:pPr>
      <w:r>
        <w:rPr>
          <w:rFonts w:ascii="Consolas" w:cs="Consolas" w:eastAsia="Consolas" w:hAnsi="Consolas"/>
          <w:sz w:val="18"/>
          <w:szCs w:val="18"/>
        </w:rPr>
        <w:t xml:space="preserve">      if is_art73(input.territorium):     return fr_art73_adapter</w:t>
      </w:r>
    </w:p>
    <w:p>
      <w:pPr>
        <w:shd w:fill="F2F2F2" w:val="clear"/>
        <w:spacing w:after="0" w:line="240"/>
      </w:pPr>
      <w:r>
        <w:rPr>
          <w:rFonts w:ascii="Consolas" w:cs="Consolas" w:eastAsia="Consolas" w:hAnsi="Consolas"/>
          <w:sz w:val="18"/>
          <w:szCs w:val="18"/>
        </w:rPr>
        <w:t xml:space="preserve">      if is_art74(input.territorium):     return fr_art74_adapter</w:t>
      </w:r>
    </w:p>
    <w:p>
      <w:pPr>
        <w:shd w:fill="F2F2F2" w:val="clear"/>
        <w:spacing w:after="0" w:line="240"/>
      </w:pPr>
      <w:r>
        <w:rPr>
          <w:rFonts w:ascii="Consolas" w:cs="Consolas" w:eastAsia="Consolas" w:hAnsi="Consolas"/>
          <w:sz w:val="18"/>
          <w:szCs w:val="18"/>
        </w:rPr>
        <w:t xml:space="preserve">      if input.level == "EPCI":</w:t>
      </w:r>
    </w:p>
    <w:p>
      <w:pPr>
        <w:shd w:fill="F2F2F2" w:val="clear"/>
        <w:spacing w:after="0" w:line="240"/>
      </w:pPr>
      <w:r>
        <w:rPr>
          <w:rFonts w:ascii="Consolas" w:cs="Consolas" w:eastAsia="Consolas" w:hAnsi="Consolas"/>
          <w:sz w:val="18"/>
          <w:szCs w:val="18"/>
        </w:rPr>
        <w:t xml:space="preserve">        return select_fr_epci_adapter(input.epci_class)</w:t>
      </w:r>
    </w:p>
    <w:p>
      <w:pPr>
        <w:shd w:fill="F2F2F2" w:val="clear"/>
        <w:spacing w:after="0" w:line="240"/>
      </w:pPr>
      <w:r>
        <w:rPr>
          <w:rFonts w:ascii="Consolas" w:cs="Consolas" w:eastAsia="Consolas" w:hAnsi="Consolas"/>
          <w:sz w:val="18"/>
          <w:szCs w:val="18"/>
        </w:rPr>
        <w:t xml:space="preserve">      return fr_standard_adapter</w:t>
      </w:r>
    </w:p>
    <w:p>
      <w:pPr>
        <w:shd w:fill="F2F2F2" w:val="clear"/>
        <w:spacing w:after="0" w:line="240"/>
      </w:pPr>
      <w:r>
        <w:rPr>
          <w:rFonts w:ascii="Consolas" w:cs="Consolas" w:eastAsia="Consolas" w:hAnsi="Consolas"/>
          <w:sz w:val="18"/>
          <w:szCs w:val="18"/>
        </w:rPr>
        <w:t xml:space="preserve">    case DE: return de_adapter</w:t>
      </w:r>
    </w:p>
    <w:p>
      <w:pPr>
        <w:shd w:fill="F2F2F2" w:val="clear"/>
        <w:spacing w:after="0" w:line="240"/>
      </w:pPr>
      <w:r>
        <w:rPr>
          <w:rFonts w:ascii="Consolas" w:cs="Consolas" w:eastAsia="Consolas" w:hAnsi="Consolas"/>
          <w:sz w:val="18"/>
          <w:szCs w:val="18"/>
        </w:rPr>
        <w:t xml:space="preserve">    case NL: return nl_adapter</w:t>
      </w:r>
    </w:p>
    <w:p>
      <w:pPr>
        <w:shd w:fill="F2F2F2" w:val="clear"/>
        <w:spacing w:after="0" w:line="240"/>
      </w:pPr>
      <w:r>
        <w:rPr>
          <w:rFonts w:ascii="Consolas" w:cs="Consolas" w:eastAsia="Consolas" w:hAnsi="Consolas"/>
          <w:sz w:val="18"/>
          <w:szCs w:val="18"/>
        </w:rPr>
        <w:t xml:space="preserve">    default: return eu_horizontal_adapter</w:t>
      </w:r>
    </w:p>
    <w:p>
      <w:pPr>
        <w:pStyle w:val="Heading1"/>
        <w:spacing w:after="180" w:before="360"/>
      </w:pPr>
      <w:r>
        <w:rPr>
          <w:b/>
          <w:bCs/>
        </w:rPr>
        <w:t xml:space="preserve">3. FR-Adapter — Schlüssel-Entdeckungen</w:t>
      </w:r>
    </w:p>
    <w:p>
      <w:pPr>
        <w:spacing w:after="120" w:line="300"/>
      </w:pPr>
      <w:r>
        <w:rPr>
          <w:i/>
          <w:iCs/>
          <w:color w:val="5A6068"/>
        </w:rPr>
        <w:t xml:space="preserve">Analog zu LeiKa/FIM (DE, v0.3) und bestuursorgaan (NL, v0.4): Welche Strukturen muss der FR-Adapter nicht selbst modellieren, weil sie im Rechtssystem existieren?</w:t>
      </w:r>
    </w:p>
    <w:p>
      <w:pPr>
        <w:pStyle w:val="Heading2"/>
        <w:spacing w:after="120" w:before="240"/>
      </w:pPr>
      <w:r>
        <w:rPr>
          <w:b/>
          <w:bCs/>
        </w:rPr>
        <w:t xml:space="preserve">3.1 Post-loi-NOTRe: Ende der clause de compétence générale</w:t>
      </w:r>
    </w:p>
    <w:p>
      <w:pPr>
        <w:spacing w:after="120" w:line="300"/>
      </w:pPr>
      <w:r>
        <w:t xml:space="preserve">Bis 2015 konnten Régions und Départements jede Angelegenheit von lokalem Interesse aufgreifen (clause de compétence générale). Die Loi NOTRe vom 07.08.2015 hob diese Klausel für beide Ebenen auf. Sie gilt ausschließlich nur noch für die Kommunen. Für den FR-Adapter bedeutet das: keine Residualregel auf Region oder Département, nur auf Commune.</w:t>
      </w:r>
    </w:p>
    <w:p>
      <w:pPr>
        <w:pStyle w:val="Heading2"/>
        <w:spacing w:after="120" w:before="240"/>
      </w:pPr>
      <w:r>
        <w:rPr>
          <w:b/>
          <w:bCs/>
        </w:rPr>
        <w:t xml:space="preserve">3.2 Blocs de compétences nach CGCT</w:t>
      </w:r>
    </w:p>
    <w:p>
      <w:pPr>
        <w:spacing w:after="120" w:line="300"/>
      </w:pPr>
      <w:r>
        <w:t xml:space="preserve">Die materielle Zuständigkeit wird nicht in der Verfassung, sondern im Code général des collectivités territoriales (CGCT) über Kompetenzblöcke zugewiesen. Diese Blöcke sind der Äquivalentwert zur LeiKa-Typisierung — aber territorial, nicht nach Regelung/Vollzug sortiert.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7526"/>
      </w:tblGrid>
      <w:tr>
        <w:trPr>
          <w:tblHeader/>
        </w:trPr>
        <w:tc>
          <w:tcPr>
            <w:tcW w:type="dxa" w:w="15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Ebene</w:t>
            </w:r>
          </w:p>
        </w:tc>
        <w:tc>
          <w:tcPr>
            <w:tcW w:type="dxa" w:w="7526"/>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Primäre Zuständigkeitsblöcke (CGCT + sektorale Kodizes)</w:t>
            </w:r>
          </w:p>
        </w:tc>
      </w:tr>
      <w:tr>
        <w:tc>
          <w:tcPr>
            <w:tcW w:type="dxa" w:w="15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L'État</w:t>
            </w:r>
          </w:p>
        </w:tc>
        <w:tc>
          <w:tcPr>
            <w:tcW w:type="dxa" w:w="75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Souveränität: Justiz, Verteidigung, Außenpolitik, innere Sicherheit, nationale Bildungscurricula, staatliche Steuern, nationale Gesundheitspolitik</w:t>
            </w:r>
          </w:p>
        </w:tc>
      </w:tr>
      <w:tr>
        <w:tc>
          <w:tcPr>
            <w:tcW w:type="dxa" w:w="15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Région</w:t>
            </w:r>
          </w:p>
        </w:tc>
        <w:tc>
          <w:tcPr>
            <w:tcW w:type="dxa" w:w="75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Strategische Planung: wirtschaftliche Entwicklung (SRDEII), Raumordnung (SRADDET), EU-Strukturfonds, TER-Regionalverkehr, Bau/Unterhalt Lycées, Berufsbildung</w:t>
            </w:r>
          </w:p>
        </w:tc>
      </w:tr>
      <w:tr>
        <w:tc>
          <w:tcPr>
            <w:tcW w:type="dxa" w:w="15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Département</w:t>
            </w:r>
          </w:p>
        </w:tc>
        <w:tc>
          <w:tcPr>
            <w:tcW w:type="dxa" w:w="75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Soziale Kohäsion: RSA, Behindertenhilfe, Kinder-/Seniorenbetreuung, ländliche Infrastruktur, Départementstraßen, SDIS, Bau/Unterhalt Collèges</w:t>
            </w:r>
          </w:p>
        </w:tc>
      </w:tr>
      <w:tr>
        <w:tc>
          <w:tcPr>
            <w:tcW w:type="dxa" w:w="15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Commune / EPCI</w:t>
            </w:r>
          </w:p>
        </w:tc>
        <w:tc>
          <w:tcPr>
            <w:tcW w:type="dxa" w:w="75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Daseinsvorsorge: Stadtplanung (PLU), ÖPNV lokal, Wasser/Abwasser, Abfall, Grundschulen, Zivilstand — viele Aufgaben an EPCI delegiert</w:t>
            </w:r>
          </w:p>
        </w:tc>
      </w:tr>
    </w:tbl>
    <w:p>
      <w:pPr>
        <w:pStyle w:val="Heading2"/>
        <w:spacing w:after="120" w:before="240"/>
      </w:pPr>
      <w:r>
        <w:rPr>
          <w:b/>
          <w:bCs/>
        </w:rPr>
        <w:t xml:space="preserve">3.3 Kein pouvoir législatif lokal — Trennung Regelung/Ausführung</w:t>
      </w:r>
    </w:p>
    <w:p>
      <w:pPr>
        <w:spacing w:after="120" w:line="300"/>
      </w:pPr>
      <w:r>
        <w:t xml:space="preserve">Fundamentaler Unterschied zu föderalen Systemen und zu IT: Französische Gebietskörperschaften haben keine originäre Gesetzgebungskompetenz. Gesetze im formellen Sinn erlässt ausschließlich das nationale Parlament. Lokale Körperschaften üben pouvoir réglementaire local aus — ein abgeleitetes administratives Verordnungsrecht zur Ausführung. Die funktionale Achse des Core Model (v0.4 Abschnitt 2.1) muss daher für FR strikt zwischen régulation (Staat) und exécution (lokal) unterscheiden.</w:t>
      </w:r>
    </w:p>
    <w:p>
      <w:pPr>
        <w:pStyle w:val="Heading2"/>
        <w:spacing w:after="120" w:before="240"/>
      </w:pPr>
      <w:r>
        <w:rPr>
          <w:b/>
          <w:bCs/>
        </w:rPr>
        <w:t xml:space="preserve">3.4 EPCI-Fragmentierung und Klassendiscriminator</w:t>
      </w:r>
    </w:p>
    <w:p>
      <w:pPr>
        <w:spacing w:after="120" w:line="300"/>
      </w:pPr>
      <w:r>
        <w:t xml:space="preserve">Frankreich hat ~35.000 Kommunen. Die operative Durchführung kapitalintensiver Aufgaben (ÖPNV, Abfall) ist massiv an EPCI übertragen. BANATIC führt die Zuordnung Commune → EPCI (SIREN-Passtabelle, groupements, compétences, périmètre). Die vier EPCI-Klassen (s. Abschnitt 2.3) sind kein organisatorisches Beiwerk, sondern definieren den eigentlichen Kompetenzraum.</w:t>
      </w:r>
    </w:p>
    <w:p>
      <w:pPr>
        <w:pStyle w:val="Heading2"/>
        <w:spacing w:after="120" w:before="240"/>
      </w:pPr>
      <w:r>
        <w:rPr>
          <w:b/>
          <w:bCs/>
        </w:rPr>
        <w:t xml:space="preserve">3.5 Collectivités à statut particulier</w:t>
      </w:r>
    </w:p>
    <w:p>
      <w:pPr>
        <w:spacing w:after="120" w:line="300"/>
      </w:pPr>
      <w:r>
        <w:t xml:space="preserve">Drei Sonderkörperschaften mit eigenem Normkorpus, jeweils als Sub-Adapter zu führen:</w:t>
      </w:r>
    </w:p>
    <w:p>
      <w:pPr>
        <w:pStyle w:val="ListParagraph"/>
        <w:numPr>
          <w:ilvl w:val="0"/>
          <w:numId w:val="2"/>
        </w:numPr>
        <w:spacing w:after="80" w:line="280"/>
      </w:pPr>
      <w:r>
        <w:rPr>
          <w:b/>
          <w:bCs/>
        </w:rPr>
        <w:t xml:space="preserve">Ville de Paris (Art. L2512-1 CGCT): </w:t>
      </w:r>
      <w:r>
        <w:t xml:space="preserve">collectivité à statut particulier anstelle von Commune + Département. Atypische Polizei-Kompetenzaufteilung: préfet de police hält spezifische Befugnisse (Art. L2512-13 CGCT), maire nur in bestimmten Materien. Kein normaler Commune-Fall.</w:t>
      </w:r>
    </w:p>
    <w:p>
      <w:pPr>
        <w:pStyle w:val="ListParagraph"/>
        <w:numPr>
          <w:ilvl w:val="0"/>
          <w:numId w:val="2"/>
        </w:numPr>
        <w:spacing w:after="80" w:line="280"/>
      </w:pPr>
      <w:r>
        <w:rPr>
          <w:b/>
          <w:bCs/>
        </w:rPr>
        <w:t xml:space="preserve">Métropole de Lyon (Art. L3611-1 CGCT): </w:t>
      </w:r>
      <w:r>
        <w:t xml:space="preserve">ersetzt die frühere Communauté urbaine + das Département Rhône im Gebiet. Art. L3641-1 ordnet kommunale Metropolkompetenzen zu; Art. L3641-2 macht sie von Rechts wegen zum Träger der Département-Kompetenzen. Hybride Zwischenebene: Gemeinde + EPCI + Département in einem.</w:t>
      </w:r>
    </w:p>
    <w:p>
      <w:pPr>
        <w:pStyle w:val="ListParagraph"/>
        <w:numPr>
          <w:ilvl w:val="0"/>
          <w:numId w:val="2"/>
        </w:numPr>
        <w:spacing w:after="80" w:line="280"/>
      </w:pPr>
      <w:r>
        <w:rPr>
          <w:b/>
          <w:bCs/>
        </w:rPr>
        <w:t xml:space="preserve">Collectivité de Corse (Art. L4421-1 CGCT): </w:t>
      </w:r>
      <w:r>
        <w:t xml:space="preserve">seit 2018 collectivité à statut particulier anstelle von Territorialer Körperschaft + beiden Départements (Corse-du-Sud, Haute-Corse). Art. L4422-16 CGCT gibt der Assemblée de Corse ein Vorschlagsrecht zur Änderung von Gesetzen und Verordnungen — normativ verstärkte Einheit, nicht bloß territorial fusioniert.</w:t>
      </w:r>
    </w:p>
    <w:p>
      <w:pPr>
        <w:pStyle w:val="Heading2"/>
        <w:spacing w:after="120" w:before="240"/>
      </w:pPr>
      <w:r>
        <w:rPr>
          <w:b/>
          <w:bCs/>
        </w:rPr>
        <w:t xml:space="preserve">3.6 Outre-mer Art. 73 / Art. 74 als zwei getrennte Familien</w:t>
      </w:r>
    </w:p>
    <w:p>
      <w:pPr>
        <w:spacing w:after="120" w:line="300"/>
      </w:pPr>
      <w:r>
        <w:t xml:space="preserve">Die Verfassung trennt zwei grundverschiedene Übersee-Regime. Die Engine führt sie als zwei distinkte Sub-Adapter-Familien, nicht als einen „Outre-mer“-Adapter.</w:t>
      </w:r>
    </w:p>
    <w:p>
      <w:pPr>
        <w:pStyle w:val="ListParagraph"/>
        <w:numPr>
          <w:ilvl w:val="0"/>
          <w:numId w:val="2"/>
        </w:numPr>
        <w:spacing w:after="80" w:line="280"/>
      </w:pPr>
      <w:r>
        <w:rPr>
          <w:b/>
          <w:bCs/>
        </w:rPr>
        <w:t xml:space="preserve">Art. 73 (identité législative): </w:t>
      </w:r>
      <w:r>
        <w:t xml:space="preserve">Guadeloupe, Guyane, Martinique, La Réunion, Mayotte. Nationale Gesetze und Verordnungen gelten von Rechts wegen. Drei Lockerungsinstrumente: Anpassung, Habilitation, Experiment. Collectivité unique (Guyane, Martinique) wiederum eigenes Sub-Regime.</w:t>
      </w:r>
    </w:p>
    <w:p>
      <w:pPr>
        <w:pStyle w:val="ListParagraph"/>
        <w:numPr>
          <w:ilvl w:val="0"/>
          <w:numId w:val="2"/>
        </w:numPr>
        <w:spacing w:after="80" w:line="280"/>
      </w:pPr>
      <w:r>
        <w:rPr>
          <w:b/>
          <w:bCs/>
        </w:rPr>
        <w:t xml:space="preserve">Art. 74 (spécialité législative): </w:t>
      </w:r>
      <w:r>
        <w:t xml:space="preserve">Saint-Barthélemy, Saint-Martin, Saint-Pierre-et-Miquelon, Wallis-et-Futuna, Polynésie française. Kompetenzen durch organisches Recht je Einheit — z. B. Polynésie française als Autonomiestatut, Wallis-et-Futuna über Statutsgesetz von 1961. Heterogenität ist substantiell, nicht kosmetisch.</w:t>
      </w:r>
    </w:p>
    <w:p>
      <w:pPr>
        <w:pStyle w:val="Heading2"/>
        <w:spacing w:after="120" w:before="240"/>
      </w:pPr>
      <w:r>
        <w:rPr>
          <w:b/>
          <w:bCs/>
        </w:rPr>
        <w:t xml:space="preserve">3.7 Jurisprudenz-Trigger: Arcelor + French Data Network</w:t>
      </w:r>
    </w:p>
    <w:p>
      <w:pPr>
        <w:spacing w:after="120" w:line="300"/>
      </w:pPr>
      <w:r>
        <w:t xml:space="preserve">Der Conseil d'État hat in French Data Network (CE 21.04.2021) das deutsche ultra-vires-Modell (Weiss-Urteil BVerfG 2020) explizit verworfen: Nationale Gerichte prüfen den EuGH nicht auf Kompetenzüberschreitung. Gleichzeitig aktivierte er die Arcelor-Doktrin (CE 08.02.2007): Wenn EU-Recht ein Prinzip der französischen Verfassungsidentität verletzt und keinen équivalent de protection bietet, darf der nationale Richter EU-Recht unangewendet lassen.</w:t>
      </w:r>
    </w:p>
    <w:p>
      <w:pPr>
        <w:spacing w:after="120" w:line="300"/>
      </w:pPr>
      <w:r>
        <w:t xml:space="preserve">Engine-Konsequenz: Bei Input-Themen aus innerer Sicherheit, Nachrichtendiensten, systematischer Überwachung oder Terrorismusbekämpfung senkt der FR-Adapter den Confidence-Score der supranationalen Ebene und hebt den des Zentralstaates. Dies ist eine legitime Stufe-3-Operation (transversale Durchbruchskompetenz im Sinne französischer Verfassungsidentität), nicht eine Stufe-7-Eskalation.</w:t>
      </w:r>
    </w:p>
    <w:p>
      <w:pPr>
        <w:pStyle w:val="Heading1"/>
        <w:spacing w:after="180" w:before="360"/>
      </w:pPr>
      <w:r>
        <w:rPr>
          <w:b/>
          <w:bCs/>
        </w:rPr>
        <w:t xml:space="preserve">4. IT-Adapter — Schlüssel-Entdeckungen</w:t>
      </w:r>
    </w:p>
    <w:p>
      <w:pPr>
        <w:pStyle w:val="Heading2"/>
        <w:spacing w:after="120" w:before="240"/>
      </w:pPr>
      <w:r>
        <w:rPr>
          <w:b/>
          <w:bCs/>
        </w:rPr>
        <w:t xml:space="preserve">4.1 Art. 117 Cost. — invertierte Residualregel</w:t>
      </w:r>
    </w:p>
    <w:p>
      <w:pPr>
        <w:spacing w:after="120" w:line="300"/>
      </w:pPr>
      <w:r>
        <w:t xml:space="preserve">Die Verfassungsreform 2001 (Riforma del Titolo V) kehrte die Logik gegenüber DE/FR/NL um. Nicht die Regionen bekommen enumerativ zugewiesene Kompetenzen, sondern der Staat. Alles nicht explizit genannte fällt an die Regionen. Für den IT-Adapter bedeutet das: die Residualregel funktioniert in die andere Richtung als im DE-Adapter (Art. 30/70 GG).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500"/>
        <w:gridCol w:w="5726"/>
      </w:tblGrid>
      <w:tr>
        <w:trPr>
          <w:tblHeader/>
        </w:trPr>
        <w:tc>
          <w:tcPr>
            <w:tcW w:type="dxa" w:w="18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Kompetenztyp</w:t>
            </w:r>
          </w:p>
        </w:tc>
        <w:tc>
          <w:tcPr>
            <w:tcW w:type="dxa" w:w="15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Rechtsgrundlage</w:t>
            </w:r>
          </w:p>
        </w:tc>
        <w:tc>
          <w:tcPr>
            <w:tcW w:type="dxa" w:w="5726"/>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Sachbereich</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Exklusive Staatsgesetzgebung</w:t>
            </w:r>
          </w:p>
        </w:tc>
        <w:tc>
          <w:tcPr>
            <w:tcW w:type="dxa" w:w="15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117 Abs. 2 Cost.</w:t>
            </w:r>
          </w:p>
        </w:tc>
        <w:tc>
          <w:tcPr>
            <w:tcW w:type="dxa" w:w="57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Außenpolitik, Einwanderung, EU-Beziehungen, Verteidigung, Währung, Justiz, Zivil-/Strafrecht, Staatsbürgerschaft, Wettbewerbsschutz, Umwelt/Ökosystem/Kulturgüter, LEP (lit. m)</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Konkurrierende Gesetzgebung</w:t>
            </w:r>
          </w:p>
        </w:tc>
        <w:tc>
          <w:tcPr>
            <w:tcW w:type="dxa" w:w="15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117 Abs. 3 Cost.</w:t>
            </w:r>
          </w:p>
        </w:tc>
        <w:tc>
          <w:tcPr>
            <w:tcW w:type="dxa" w:w="57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Außenhandel, Arbeitsschutz, Gesundheitsschutz, Raumordnung (governo del territorio), Zivilschutz, große Verkehrs-/Schifffahrtsnetze, Energieerzeugung/-transport — Staat setzt Rahmengesetze, Regionen detaillieren</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Residualkompetenz Regionen</w:t>
            </w:r>
          </w:p>
        </w:tc>
        <w:tc>
          <w:tcPr>
            <w:tcW w:type="dxa" w:w="15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117 Abs. 4 Cost.</w:t>
            </w:r>
          </w:p>
        </w:tc>
        <w:tc>
          <w:tcPr>
            <w:tcW w:type="dxa" w:w="57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Alles nicht enumerierte: lokales Sozialwesen, Berufsausbildung, Landwirtschaft (soweit nicht EU), Tourismus, lokales Handwerk, lokaler Verkehr</w:t>
            </w:r>
          </w:p>
        </w:tc>
      </w:tr>
    </w:tbl>
    <w:p>
      <w:pPr>
        <w:pStyle w:val="Heading2"/>
        <w:spacing w:after="120" w:before="240"/>
      </w:pPr>
      <w:r>
        <w:rPr>
          <w:b/>
          <w:bCs/>
        </w:rPr>
        <w:t xml:space="preserve">4.2 Materie trasversali → Rechtfertigung Stufe 3</w:t>
      </w:r>
    </w:p>
    <w:p>
      <w:pPr>
        <w:spacing w:after="120" w:line="300"/>
      </w:pPr>
      <w:r>
        <w:t xml:space="preserve">Die Corte Costituzionale hat in ständiger Rechtsprechung festgestellt, dass bestimmte staatliche Exklusivkompetenzen — insbesondere Umweltschutz, Wettbewerbsschutz und LEP — keine abgrenzbaren Sektoren, sondern finalistische Querschnittsziele sind. Sie durchschneiden regionale Kompetenzen transversal. Beispiel: Eine Region erlässt im Rahmen der Residualkompetenz Tourismus ein Gesetz; berührt dieses den landesweiten Umweltschutz, interveniert der Staat.</w:t>
      </w:r>
    </w:p>
    <w:p>
      <w:pPr>
        <w:spacing w:after="120" w:line="300"/>
      </w:pPr>
      <w:r>
        <w:t xml:space="preserve">Dies ist die Rechtfertigung der v0.5-Stufe 3. Ohne diese Kategorie müsste der IT-Adapter transversale Staatsinterventionen in Stufe 4 (nationale Spezialzuständigkeit) verstecken, was die Engine unerklärbar machen würde.</w:t>
      </w:r>
    </w:p>
    <w:p>
      <w:pPr>
        <w:pStyle w:val="Heading2"/>
        <w:spacing w:after="120" w:before="240"/>
      </w:pPr>
      <w:r>
        <w:rPr>
          <w:b/>
          <w:bCs/>
        </w:rPr>
        <w:t xml:space="preserve">4.3 Regioni a statuto speciale als Sub-Adapter-Familie</w:t>
      </w:r>
    </w:p>
    <w:p>
      <w:pPr>
        <w:spacing w:after="120" w:line="300"/>
      </w:pPr>
      <w:r>
        <w:t xml:space="preserve">Art. 116 Abs. 1 Cost. nennt fünf Sonderautonomien mit forme e condizioni particolari di autonomia nach eigenen Sonderstatuten. Die Abweichung sitzt normativ in drei Schichten: Verfassung, Statuto, Norme di attuazione. Trentino-Alto Adige wird zusätzlich auf Provinzebene (Trento, Bolzano) aufgelöst — Art. 116 Cost. stellt die Region als Hülle dar; die tragenden Zuständigkeiten sitzen auf Provinzebene (Statuto Art. 8).</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rPr>
          <w:tblHeader/>
        </w:trPr>
        <w:tc>
          <w:tcPr>
            <w:tcW w:type="dxa" w:w="24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Sub-Adapter</w:t>
            </w:r>
          </w:p>
        </w:tc>
        <w:tc>
          <w:tcPr>
            <w:tcW w:type="dxa" w:w="6626"/>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Primärquelle + Bemerkung</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it.statuto.sicilia</w:t>
            </w:r>
          </w:p>
        </w:tc>
        <w:tc>
          <w:tcPr>
            <w:tcW w:type="dxa" w:w="66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Statuto Art. 14 (primäre GG-Kompetenz) + Art. 17 (innerhalb allgemeiner Grundsätze) + Finanznormen (2025 angepasst)</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it.statuto.sardegna</w:t>
            </w:r>
          </w:p>
        </w:tc>
        <w:tc>
          <w:tcPr>
            <w:tcW w:type="dxa" w:w="66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Statuto Art. 3 (eigenständiger Materienkatalog) + sektorale Durchführungsnormen (Übertragung administrativer Funktionen, Arbeit/Arbeitsvermittlung)</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it.statuto.valle_daosta</w:t>
            </w:r>
          </w:p>
        </w:tc>
        <w:tc>
          <w:tcPr>
            <w:tcW w:type="dxa" w:w="66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Statuto + Norme di attuazione zu regionaler und kommunaler Finanzordnung</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it.statuto.friuli_venezia_giulia</w:t>
            </w:r>
          </w:p>
        </w:tc>
        <w:tc>
          <w:tcPr>
            <w:tcW w:type="dxa" w:w="66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Statuto Art. 4 + Durchführungsnormen zur Ordnung lokaler Gebietskörperschaften; 2026er Verfassungsgesetz — versionieren</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it.statuto.trentino.trento</w:t>
            </w:r>
          </w:p>
        </w:tc>
        <w:tc>
          <w:tcPr>
            <w:tcW w:type="dxa" w:w="66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Autonome Provinz Trento, Statuto Art. 8 — eigenständige gesetzgeberische Potestà</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it.statuto.trentino.bolzano</w:t>
            </w:r>
          </w:p>
        </w:tc>
        <w:tc>
          <w:tcPr>
            <w:tcW w:type="dxa" w:w="66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Autonome Provinz Bolzano/Südtirol, Statuto Art. 8 — eigenständige gesetzgeberische Potestà</w:t>
            </w:r>
          </w:p>
        </w:tc>
      </w:tr>
    </w:tbl>
    <w:p>
      <w:pPr>
        <w:spacing w:after="120" w:line="300"/>
      </w:pPr>
      <w:r>
        <w:rPr>
          <w:i/>
          <w:iCs/>
          <w:color w:val="5A6068"/>
        </w:rPr>
        <w:t xml:space="preserve">Ein pauschales „statuto_speciale=true“-Flag ist zu grob. Die Produktionsversion benötigt diese 6 Sub-Adapter-Regelwerke plus die Region-Trentino-Hülle (= 7 Regelwerke gesamt).</w:t>
      </w:r>
    </w:p>
    <w:p>
      <w:pPr>
        <w:pStyle w:val="Heading2"/>
        <w:spacing w:after="120" w:before="240"/>
      </w:pPr>
      <w:r>
        <w:rPr>
          <w:b/>
          <w:bCs/>
        </w:rPr>
        <w:t xml:space="preserve">4.4 LEP/LEA als Finanzstandard-Kompetenz des Staates</w:t>
      </w:r>
    </w:p>
    <w:p>
      <w:pPr>
        <w:spacing w:after="120" w:line="300"/>
      </w:pPr>
      <w:r>
        <w:t xml:space="preserve">Art. 117 Abs. 2 lit. m Cost. ermächtigt den Staat, die Livelli Essenziali delle Prestazioni (LEP) für bürgerliche und soziale Rechte landesweit festzulegen. Im Gesundheitswesen heißen sie LEA (Livelli Essenziali di Assistenza). Selbst wenn Regionen exklusive oder konkurrierende Gesetzgebungskompetenz haben, kann der Staat über LEP finanzielle und qualitative Mindeststandards erzwingen. Im IT-Adapter heißt das: bei regionalen sozialen Diensten immer zusätzlich eine sekundäre Zuständigkeit MEF/Parlament für LEP-Standardsetzung markieren.</w:t>
      </w:r>
    </w:p>
    <w:p>
      <w:pPr>
        <w:pStyle w:val="Heading2"/>
        <w:spacing w:after="120" w:before="240"/>
      </w:pPr>
      <w:r>
        <w:rPr>
          <w:b/>
          <w:bCs/>
        </w:rPr>
        <w:t xml:space="preserve">4.5 TUEL und vertikale Subsidiarität</w:t>
      </w:r>
    </w:p>
    <w:p>
      <w:pPr>
        <w:spacing w:after="120" w:line="300"/>
      </w:pPr>
      <w:r>
        <w:t xml:space="preserve">Art. 118 Cost. setzt das Prinzip der vertikalen Subsidiarität. Der Testo unico delle leggi sull'ordinamento degli enti locali (D.Lgs. 267/2000, TUEL) konkretisiert es: administrative funzioni fondamentali werden primär Kommunen zugewiesen (Art. 13 TUEL: Raumplanung, Standesamt, Abfall, lokaler Straßenbau, Sozialdienste). Provinzen und Metropolitanstädte übernehmen überörtliche Koordinierung. Die 20 Regionen (5 mit Statuto speciale) sind Gesetzgeber; Provinzen/Metropolitanstädte/7.900+ Gemeinden sind Ausführung.</w:t>
      </w:r>
    </w:p>
    <w:p>
      <w:pPr>
        <w:pStyle w:val="Heading2"/>
        <w:spacing w:after="120" w:before="240"/>
      </w:pPr>
      <w:r>
        <w:rPr>
          <w:b/>
          <w:bCs/>
        </w:rPr>
        <w:t xml:space="preserve">4.6 Jurisprudenz-Trigger: Controlimiti + Sentenza 269/2017</w:t>
      </w:r>
    </w:p>
    <w:p>
      <w:pPr>
        <w:spacing w:after="120" w:line="300"/>
      </w:pPr>
      <w:r>
        <w:t xml:space="preserve">Zwei verknüpfte Doktrinen erzwingen im IT-Adapter eine Eskalationskategorie, die über die generische Art. 267 AEUV-Vorlage hinausgeht.</w:t>
      </w:r>
    </w:p>
    <w:p>
      <w:pPr>
        <w:pStyle w:val="ListParagraph"/>
        <w:numPr>
          <w:ilvl w:val="0"/>
          <w:numId w:val="2"/>
        </w:numPr>
        <w:spacing w:after="80" w:line="280"/>
      </w:pPr>
      <w:r>
        <w:rPr>
          <w:b/>
          <w:bCs/>
        </w:rPr>
        <w:t xml:space="preserve">Controlimiti-Doktrin: </w:t>
      </w:r>
      <w:r>
        <w:t xml:space="preserve">Seit Granital 170/1984 erkennt die Corte Costituzionale den EU-Vorrang an — mit Grenze in den principi supremi der Verfassungsordnung und unveräußerlichen Menschenrechten. Taricco-Saga (EuGH C-105/14, Ordinanza 24/2017, Sentenza 115/2018) hat das operativ gemacht: materiell-rechtliche Verjährung als controlimite, rückwirkende Verlängerung verboten.</w:t>
      </w:r>
    </w:p>
    <w:p>
      <w:pPr>
        <w:pStyle w:val="ListParagraph"/>
        <w:numPr>
          <w:ilvl w:val="0"/>
          <w:numId w:val="2"/>
        </w:numPr>
        <w:spacing w:after="80" w:line="280"/>
      </w:pPr>
      <w:r>
        <w:rPr>
          <w:b/>
          <w:bCs/>
        </w:rPr>
        <w:t xml:space="preserve">Sentenza 269/2017 — doppelte Präjudizialität: </w:t>
      </w:r>
      <w:r>
        <w:t xml:space="preserve">Bei Konflikt eines nationalen Gesetzes gleichzeitig mit Costituzione und EU-Grundrechtecharta muss das ordentliche Gericht zuerst die Corte Costituzionale anrufen, nicht direkt den EuGH. Die Normenkontrolle wird wieder zentralisiert.</w:t>
      </w:r>
    </w:p>
    <w:p>
      <w:pPr>
        <w:spacing w:after="120" w:line="300"/>
      </w:pPr>
      <w:r>
        <w:t xml:space="preserve">Engine-Konsequenz: Bei Inputs in den Feldern Strafrecht, Strafprozessordnung, fundamentale Grundrechte gibt der IT-Adapter keine simple EU-Zuweisung aus. Stattdessen Kategorie „rechtlich ungeklärt mit Eskalationsbedarf“, Vorlagepfad primär zur Corte Costituzionale, sekundär EuGH via Art. 267 AEUV.</w:t>
      </w:r>
    </w:p>
    <w:p>
      <w:pPr>
        <w:pStyle w:val="Heading1"/>
        <w:spacing w:after="180" w:before="360"/>
      </w:pPr>
      <w:r>
        <w:rPr>
          <w:b/>
          <w:bCs/>
        </w:rPr>
        <w:t xml:space="preserve">5. Validierte Datenquellen (FR/IT-Erweiterung)</w:t>
      </w:r>
    </w:p>
    <w:p>
      <w:pPr>
        <w:spacing w:after="120" w:line="300"/>
      </w:pPr>
      <w:r>
        <w:t xml:space="preserve">Ergänzung der v0.4-Matrix. Zwei Einträge mit differenziertem Validierungsstand, um keine falschen Präzisionsversprechen zu machen.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100"/>
        <w:gridCol w:w="900"/>
        <w:gridCol w:w="1100"/>
        <w:gridCol w:w="1300"/>
        <w:gridCol w:w="2826"/>
      </w:tblGrid>
      <w:tr>
        <w:trPr>
          <w:tblHeader/>
        </w:trPr>
        <w:tc>
          <w:tcPr>
            <w:tcW w:type="dxa" w:w="18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Quelle</w:t>
            </w:r>
          </w:p>
        </w:tc>
        <w:tc>
          <w:tcPr>
            <w:tcW w:type="dxa" w:w="11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Ebene</w:t>
            </w:r>
          </w:p>
        </w:tc>
        <w:tc>
          <w:tcPr>
            <w:tcW w:type="dxa" w:w="9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Format</w:t>
            </w:r>
          </w:p>
        </w:tc>
        <w:tc>
          <w:tcPr>
            <w:tcW w:type="dxa" w:w="11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Zugang</w:t>
            </w:r>
          </w:p>
        </w:tc>
        <w:tc>
          <w:tcPr>
            <w:tcW w:type="dxa" w:w="13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Status</w:t>
            </w:r>
          </w:p>
        </w:tc>
        <w:tc>
          <w:tcPr>
            <w:tcW w:type="dxa" w:w="2826"/>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Rolle</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Legifrance (CGCT)</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Alle FR</w:t>
            </w:r>
          </w:p>
        </w:tc>
        <w:tc>
          <w:tcPr>
            <w:tcW w:type="dxa" w:w="9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JSON/XML</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Offen</w:t>
            </w:r>
          </w:p>
        </w:tc>
        <w:tc>
          <w:tcPr>
            <w:tcW w:type="dxa" w:w="13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Produktiv</w:t>
            </w:r>
          </w:p>
        </w:tc>
        <w:tc>
          <w:tcPr>
            <w:tcW w:type="dxa" w:w="28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FR-Kern: Constitution + CGCT + LODA-Artikelzugriff</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data.gouv.fr / Répertoire des services publics</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Alle FR</w:t>
            </w:r>
          </w:p>
        </w:tc>
        <w:tc>
          <w:tcPr>
            <w:tcW w:type="dxa" w:w="9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JSON/CSV</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Offen</w:t>
            </w:r>
          </w:p>
        </w:tc>
        <w:tc>
          <w:tcPr>
            <w:tcW w:type="dxa" w:w="13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Produktiv</w:t>
            </w:r>
          </w:p>
        </w:tc>
        <w:tc>
          <w:tcPr>
            <w:tcW w:type="dxa" w:w="28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Service→Behörden-Mapping, CPSV-AP-Ziel</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BANATIC</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Commune/EPCI</w:t>
            </w:r>
          </w:p>
        </w:tc>
        <w:tc>
          <w:tcPr>
            <w:tcW w:type="dxa" w:w="9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CSV/XLSX</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Offen</w:t>
            </w:r>
          </w:p>
        </w:tc>
        <w:tc>
          <w:tcPr>
            <w:tcW w:type="dxa" w:w="13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Batch validiert, API offen</w:t>
            </w:r>
          </w:p>
        </w:tc>
        <w:tc>
          <w:tcPr>
            <w:tcW w:type="dxa" w:w="28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Commune→EPCI-Zuordnung; groupements, coordonnées, compétences, périmètre, INSEE↔SIREN-Passtabelle</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DGCL (collectivites-locales.gouv.fr)</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EPCI</w:t>
            </w:r>
          </w:p>
        </w:tc>
        <w:tc>
          <w:tcPr>
            <w:tcW w:type="dxa" w:w="9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HTML</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Offen</w:t>
            </w:r>
          </w:p>
        </w:tc>
        <w:tc>
          <w:tcPr>
            <w:tcW w:type="dxa" w:w="13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Produktiv</w:t>
            </w:r>
          </w:p>
        </w:tc>
        <w:tc>
          <w:tcPr>
            <w:tcW w:type="dxa" w:w="28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Integrationsstufen + EPCI-Klassen-Dokumentation</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Guide de légistique (SGG)</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Cross FR</w:t>
            </w:r>
          </w:p>
        </w:tc>
        <w:tc>
          <w:tcPr>
            <w:tcW w:type="dxa" w:w="9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HTML/PDF</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Offen</w:t>
            </w:r>
          </w:p>
        </w:tc>
        <w:tc>
          <w:tcPr>
            <w:tcW w:type="dxa" w:w="13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Produktiv</w:t>
            </w:r>
          </w:p>
        </w:tc>
        <w:tc>
          <w:tcPr>
            <w:tcW w:type="dxa" w:w="28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73/74-Auslegung, Normstrukturhilfe</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Conseil d'État / Legifrance-CE</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Cross FR</w:t>
            </w:r>
          </w:p>
        </w:tc>
        <w:tc>
          <w:tcPr>
            <w:tcW w:type="dxa" w:w="9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ECLI/HTML</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Offen</w:t>
            </w:r>
          </w:p>
        </w:tc>
        <w:tc>
          <w:tcPr>
            <w:tcW w:type="dxa" w:w="13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Produktiv</w:t>
            </w:r>
          </w:p>
        </w:tc>
        <w:tc>
          <w:tcPr>
            <w:tcW w:type="dxa" w:w="28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Arcelor, French Data Network, ultra-vires-Abgrenzung</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Normattiva</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Stato + Regioni</w:t>
            </w:r>
          </w:p>
        </w:tc>
        <w:tc>
          <w:tcPr>
            <w:tcW w:type="dxa" w:w="9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HTML/URN-NIR</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Offen</w:t>
            </w:r>
          </w:p>
        </w:tc>
        <w:tc>
          <w:tcPr>
            <w:tcW w:type="dxa" w:w="13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Produktiv</w:t>
            </w:r>
          </w:p>
        </w:tc>
        <w:tc>
          <w:tcPr>
            <w:tcW w:type="dxa" w:w="28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IT-Kern: Costituzione + Statuti Speciali + Codici + Decreti</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AgID Catalogo Nazionale dei Servizi</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Alle IT</w:t>
            </w:r>
          </w:p>
        </w:tc>
        <w:tc>
          <w:tcPr>
            <w:tcW w:type="dxa" w:w="9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RDF/JSON-LD</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Offen</w:t>
            </w:r>
          </w:p>
        </w:tc>
        <w:tc>
          <w:tcPr>
            <w:tcW w:type="dxa" w:w="13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Produktiv</w:t>
            </w:r>
          </w:p>
        </w:tc>
        <w:tc>
          <w:tcPr>
            <w:tcW w:type="dxa" w:w="28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CPSV-AP-IT-konform; Eventi della vita → Basisdienste</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Indice PA (IPA)</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Alle IT</w:t>
            </w:r>
          </w:p>
        </w:tc>
        <w:tc>
          <w:tcPr>
            <w:tcW w:type="dxa" w:w="9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TXT/XLSX + CKAN-API</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Offen</w:t>
            </w:r>
          </w:p>
        </w:tc>
        <w:tc>
          <w:tcPr>
            <w:tcW w:type="dxa" w:w="13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Weitgehend validiert, Quoten offen</w:t>
            </w:r>
          </w:p>
        </w:tc>
        <w:tc>
          <w:tcPr>
            <w:tcW w:type="dxa" w:w="28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Authority Registry Stufe 2 (konkrete Organe) mit Data Dictionary</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Corte Costituzionale (cortecostituzionale.it)</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Cross IT</w:t>
            </w:r>
          </w:p>
        </w:tc>
        <w:tc>
          <w:tcPr>
            <w:tcW w:type="dxa" w:w="9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ECLI/HTML</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Offen</w:t>
            </w:r>
          </w:p>
        </w:tc>
        <w:tc>
          <w:tcPr>
            <w:tcW w:type="dxa" w:w="13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Produktiv</w:t>
            </w:r>
          </w:p>
        </w:tc>
        <w:tc>
          <w:tcPr>
            <w:tcW w:type="dxa" w:w="28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Granital, Taricco-Saga, Sentenza 269/2017, Controlimiti-Rechtsprechung</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Curia (EuGH) — Taricco-Fälle</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EU↔IT</w:t>
            </w:r>
          </w:p>
        </w:tc>
        <w:tc>
          <w:tcPr>
            <w:tcW w:type="dxa" w:w="9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ECLI/HTML</w:t>
            </w:r>
          </w:p>
        </w:tc>
        <w:tc>
          <w:tcPr>
            <w:tcW w:type="dxa" w:w="11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Offen</w:t>
            </w:r>
          </w:p>
        </w:tc>
        <w:tc>
          <w:tcPr>
            <w:tcW w:type="dxa" w:w="13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Produktiv</w:t>
            </w:r>
          </w:p>
        </w:tc>
        <w:tc>
          <w:tcPr>
            <w:tcW w:type="dxa" w:w="28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C-105/14 (Taricco I), C-42/17 (M.A.S./M.B., Taricco II)</w:t>
            </w:r>
          </w:p>
        </w:tc>
      </w:tr>
    </w:tbl>
    <w:p>
      <w:pPr>
        <w:spacing w:after="120" w:line="300"/>
      </w:pPr>
      <w:r>
        <w:rPr>
          <w:i/>
          <w:iCs/>
          <w:color w:val="5A6068"/>
        </w:rPr>
        <w:t xml:space="preserve">Indice PA: Dokumentationsinkonsistenz zwischen Manuale-Text („SPARQL endpoint“) und tatsächlichen CKAN-Endpunkten (datastore_search, datastore_search_sql). Vor Produktionsintegration Contract-Test gegen zwei bis drei repräsentative Ressourcen empfohlen.</w:t>
      </w:r>
    </w:p>
    <w:p>
      <w:pPr>
        <w:pStyle w:val="Heading1"/>
        <w:spacing w:after="180" w:before="360"/>
      </w:pPr>
      <w:r>
        <w:rPr>
          <w:b/>
          <w:bCs/>
        </w:rPr>
        <w:t xml:space="preserve">6. Plattformvergleich: Null Prior Art bestätigt für FR/IT</w:t>
      </w:r>
    </w:p>
    <w:p>
      <w:pPr>
        <w:spacing w:after="120" w:line="300"/>
      </w:pPr>
      <w:r>
        <w:t xml:space="preserve">Die Addendum-Systematik (npm + GitHub + akademische Kataloge) wurde mit FR- und IT-spezifischen Keywords wiederholt (bloc de compétences, compétence territoriale, competenza regionale, statuto speciale, EPCI, TUEL, LEP). Ergebnis: keine existierende Plattform kombiniert Freitext-Normalisierung mit Themen→Ebenen-Zuordnung unter Berücksichtigung asymmetrischer Sub-Adapter.</w:t>
      </w:r>
    </w:p>
    <w:p>
      <w:pPr>
        <w:pStyle w:val="Heading2"/>
        <w:spacing w:after="120" w:before="240"/>
      </w:pPr>
      <w:r>
        <w:rPr>
          <w:b/>
          <w:bCs/>
        </w:rPr>
        <w:t xml:space="preserve">6.1 FR-Plattformen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4226"/>
      </w:tblGrid>
      <w:tr>
        <w:trPr>
          <w:tblHeader/>
        </w:trPr>
        <w:tc>
          <w:tcPr>
            <w:tcW w:type="dxa" w:w="22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Plattform</w:t>
            </w:r>
          </w:p>
        </w:tc>
        <w:tc>
          <w:tcPr>
            <w:tcW w:type="dxa" w:w="26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Ansatz</w:t>
            </w:r>
          </w:p>
        </w:tc>
        <w:tc>
          <w:tcPr>
            <w:tcW w:type="dxa" w:w="4226"/>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Warum keine Engine-Alternative</w:t>
            </w:r>
          </w:p>
        </w:tc>
      </w:tr>
      <w:tr>
        <w:tc>
          <w:tcPr>
            <w:tcW w:type="dxa" w:w="2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service-public.fr</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Zentrales Service-Directory</w:t>
            </w:r>
          </w:p>
        </w:tc>
        <w:tc>
          <w:tcPr>
            <w:tcW w:type="dxa" w:w="42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Manuelle Navigation nach Lebenslagen, keine automatische Ebenenermittlung</w:t>
            </w:r>
          </w:p>
        </w:tc>
      </w:tr>
      <w:tr>
        <w:tc>
          <w:tcPr>
            <w:tcW w:type="dxa" w:w="2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vie-publique.fr</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Politik- und Verwaltungsbildung</w:t>
            </w:r>
          </w:p>
        </w:tc>
        <w:tc>
          <w:tcPr>
            <w:tcW w:type="dxa" w:w="42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Edukativ, kein Routing</w:t>
            </w:r>
          </w:p>
        </w:tc>
      </w:tr>
      <w:tr>
        <w:tc>
          <w:tcPr>
            <w:tcW w:type="dxa" w:w="2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data.gouv.fr</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Open-Data-Portal</w:t>
            </w:r>
          </w:p>
        </w:tc>
        <w:tc>
          <w:tcPr>
            <w:tcW w:type="dxa" w:w="42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Datensätze, keine Entscheidungslogik</w:t>
            </w:r>
          </w:p>
        </w:tc>
      </w:tr>
      <w:tr>
        <w:tc>
          <w:tcPr>
            <w:tcW w:type="dxa" w:w="2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BANATIC</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EPCI-Registry</w:t>
            </w:r>
          </w:p>
        </w:tc>
        <w:tc>
          <w:tcPr>
            <w:tcW w:type="dxa" w:w="42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Strukturdaten, aber keine Themen-Zuordnung</w:t>
            </w:r>
          </w:p>
        </w:tc>
      </w:tr>
      <w:tr>
        <w:tc>
          <w:tcPr>
            <w:tcW w:type="dxa" w:w="2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Décider ensemble / decidim-Deployments</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Partizipationsplattformen (Rennes, Paris, Nantes)</w:t>
            </w:r>
          </w:p>
        </w:tc>
        <w:tc>
          <w:tcPr>
            <w:tcW w:type="dxa" w:w="42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Konsultation ohne Zuständigkeitsengine</w:t>
            </w:r>
          </w:p>
        </w:tc>
      </w:tr>
    </w:tbl>
    <w:p>
      <w:pPr>
        <w:pStyle w:val="Heading2"/>
        <w:spacing w:after="120" w:before="240"/>
      </w:pPr>
      <w:r>
        <w:rPr>
          <w:b/>
          <w:bCs/>
        </w:rPr>
        <w:t xml:space="preserve">6.2 IT-Plattformen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4226"/>
      </w:tblGrid>
      <w:tr>
        <w:trPr>
          <w:tblHeader/>
        </w:trPr>
        <w:tc>
          <w:tcPr>
            <w:tcW w:type="dxa" w:w="22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Plattform</w:t>
            </w:r>
          </w:p>
        </w:tc>
        <w:tc>
          <w:tcPr>
            <w:tcW w:type="dxa" w:w="26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Ansatz</w:t>
            </w:r>
          </w:p>
        </w:tc>
        <w:tc>
          <w:tcPr>
            <w:tcW w:type="dxa" w:w="4226"/>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Warum keine Engine-Alternative</w:t>
            </w:r>
          </w:p>
        </w:tc>
      </w:tr>
      <w:tr>
        <w:tc>
          <w:tcPr>
            <w:tcW w:type="dxa" w:w="2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Indice PA</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Authority Registry</w:t>
            </w:r>
          </w:p>
        </w:tc>
        <w:tc>
          <w:tcPr>
            <w:tcW w:type="dxa" w:w="42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Behördenverzeichnis, kein Themen-Mapping</w:t>
            </w:r>
          </w:p>
        </w:tc>
      </w:tr>
      <w:tr>
        <w:tc>
          <w:tcPr>
            <w:tcW w:type="dxa" w:w="2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Catalogo Nazionale dei Servizi</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CPSV-AP-IT-Dienstkatalog</w:t>
            </w:r>
          </w:p>
        </w:tc>
        <w:tc>
          <w:tcPr>
            <w:tcW w:type="dxa" w:w="42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Leistungen→Organ, aber als Input ein Leistungsname, nicht ein Freitext-Thema</w:t>
            </w:r>
          </w:p>
        </w:tc>
      </w:tr>
      <w:tr>
        <w:tc>
          <w:tcPr>
            <w:tcW w:type="dxa" w:w="2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ParteciPa</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Partizipationsplattform Regierung</w:t>
            </w:r>
          </w:p>
        </w:tc>
        <w:tc>
          <w:tcPr>
            <w:tcW w:type="dxa" w:w="42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Konsultation, nicht Zuordnung</w:t>
            </w:r>
          </w:p>
        </w:tc>
      </w:tr>
      <w:tr>
        <w:tc>
          <w:tcPr>
            <w:tcW w:type="dxa" w:w="2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OpenPolis / openparlamento</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Politik- und Parlamentsmonitoring</w:t>
            </w:r>
          </w:p>
        </w:tc>
        <w:tc>
          <w:tcPr>
            <w:tcW w:type="dxa" w:w="42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Parlamentsfokus, keine Vollzugs-/Sektorlogik</w:t>
            </w:r>
          </w:p>
        </w:tc>
      </w:tr>
      <w:tr>
        <w:tc>
          <w:tcPr>
            <w:tcW w:type="dxa" w:w="2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Normattiva-Suche</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Rechtsaktsuche</w:t>
            </w:r>
          </w:p>
        </w:tc>
        <w:tc>
          <w:tcPr>
            <w:tcW w:type="dxa" w:w="42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Dokument-Retrieval, kein Themen→Ebene-Mapping</w:t>
            </w:r>
          </w:p>
        </w:tc>
      </w:tr>
    </w:tbl>
    <w:p>
      <w:pPr>
        <w:pStyle w:val="Heading2"/>
        <w:spacing w:after="120" w:before="240"/>
      </w:pPr>
      <w:r>
        <w:rPr>
          <w:b/>
          <w:bCs/>
        </w:rPr>
        <w:t xml:space="preserve">6.3 Schlussfolgerung</w:t>
      </w:r>
    </w:p>
    <w:p>
      <w:pPr>
        <w:spacing w:after="120" w:line="300"/>
      </w:pPr>
      <w:r>
        <w:t xml:space="preserve">Die Null-Prior-Art-Feststellung aus v0.3-Addendum und v0.4-Sektion 7 gilt auch für FR und IT. Besonders bemerkenswert: IT hat mit AgID/Catalogo Nazionale/Indice PA die strukturell beste Datenbasis aller bisher modellierten Länder (CPSV-AP-konform seit Geburt), aber keine darauf aufbauende Zuordnungsengine. FR hat mit dem Répertoire des services publics und BANATIC die Bausteine, aber ebenfalls keine Engine. Die First-Mover-Position gilt auch für diese zwei Rechtsräume.</w:t>
      </w:r>
    </w:p>
    <w:p>
      <w:pPr>
        <w:pStyle w:val="Heading1"/>
        <w:spacing w:after="180" w:before="360"/>
      </w:pPr>
      <w:r>
        <w:rPr>
          <w:b/>
          <w:bCs/>
        </w:rPr>
        <w:t xml:space="preserve">7. Rechtsprechungsanker (FR/IT-Erweiterung)</w:t>
      </w:r>
    </w:p>
    <w:p>
      <w:pPr>
        <w:spacing w:after="120" w:line="300"/>
      </w:pPr>
      <w:r>
        <w:t xml:space="preserve">Der v0.4-Rechtsprechungsanker wird um französische und italienische Leitentscheidungen erweitert. Vollständiger Stand für v0.5:</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1200"/>
        <w:gridCol w:w="5026"/>
      </w:tblGrid>
      <w:tr>
        <w:trPr>
          <w:tblHeader/>
        </w:trPr>
        <w:tc>
          <w:tcPr>
            <w:tcW w:type="dxa" w:w="28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Entscheidung</w:t>
            </w:r>
          </w:p>
        </w:tc>
        <w:tc>
          <w:tcPr>
            <w:tcW w:type="dxa" w:w="12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Ebene</w:t>
            </w:r>
          </w:p>
        </w:tc>
        <w:tc>
          <w:tcPr>
            <w:tcW w:type="dxa" w:w="5026"/>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Engine-Relevanz</w:t>
            </w:r>
          </w:p>
        </w:tc>
      </w:tr>
      <w:tr>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RvS 07.02.2024 (ECLI:NL:RVS:2024:470)</w:t>
            </w:r>
          </w:p>
        </w:tc>
        <w:tc>
          <w:tcPr>
            <w:tcW w:type="dxa" w:w="1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NL</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bestuursorgaan-Qualifikation</w:t>
            </w:r>
          </w:p>
        </w:tc>
      </w:tr>
      <w:tr>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RvS 17.12.2025 (ECLI:NL:RVS:2025:6150)</w:t>
            </w:r>
          </w:p>
        </w:tc>
        <w:tc>
          <w:tcPr>
            <w:tcW w:type="dxa" w:w="1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NL</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Delegation ohne gesetzliche Grundlage unverbindlich</w:t>
            </w:r>
          </w:p>
        </w:tc>
      </w:tr>
      <w:tr>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Meroni (9/56, 10/56)</w:t>
            </w:r>
          </w:p>
        </w:tc>
        <w:tc>
          <w:tcPr>
            <w:tcW w:type="dxa" w:w="1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EU</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Delegationsschranke gegen weites Ermessen</w:t>
            </w:r>
          </w:p>
        </w:tc>
      </w:tr>
      <w:tr>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Romano (98/80)</w:t>
            </w:r>
          </w:p>
        </w:tc>
        <w:tc>
          <w:tcPr>
            <w:tcW w:type="dxa" w:w="1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EU</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Schranke gegen Maßnahmen mit Gesetzeskraft außerhalb Vertragsrahmen</w:t>
            </w:r>
          </w:p>
        </w:tc>
      </w:tr>
      <w:tr>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ESMA (C-270/12, 22.01.2014)</w:t>
            </w:r>
          </w:p>
        </w:tc>
        <w:tc>
          <w:tcPr>
            <w:tcW w:type="dxa" w:w="1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EU</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Eng umgrenzte Agenturdelegation zulässig</w:t>
            </w:r>
          </w:p>
        </w:tc>
      </w:tr>
      <w:tr>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Tobacco Advertising (C-376/98)</w:t>
            </w:r>
          </w:p>
        </w:tc>
        <w:tc>
          <w:tcPr>
            <w:tcW w:type="dxa" w:w="1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EU</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114 AEUV kein Blankoscheck</w:t>
            </w:r>
          </w:p>
        </w:tc>
      </w:tr>
      <w:tr>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Facebook Ireland (C-645/19, 15.06.2021)</w:t>
            </w:r>
          </w:p>
        </w:tc>
        <w:tc>
          <w:tcPr>
            <w:tcW w:type="dxa" w:w="1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EU</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One-stop-shop als Regel, CSA-Aktivität unter Kooperationsbedingungen</w:t>
            </w:r>
          </w:p>
        </w:tc>
      </w:tr>
      <w:tr>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CILFIT</w:t>
            </w:r>
          </w:p>
        </w:tc>
        <w:tc>
          <w:tcPr>
            <w:tcW w:type="dxa" w:w="1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EU</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Vorlagepflicht letztinstanzlicher Gerichte</w:t>
            </w:r>
          </w:p>
        </w:tc>
      </w:tr>
      <w:tr>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Foto-Frost</w:t>
            </w:r>
          </w:p>
        </w:tc>
        <w:tc>
          <w:tcPr>
            <w:tcW w:type="dxa" w:w="1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EU</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Nationale Gerichte erklären Unionsakte nicht selbst für ungültig</w:t>
            </w:r>
          </w:p>
        </w:tc>
      </w:tr>
      <w:tr>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Arcelor (CE 08.02.2007)</w:t>
            </w:r>
          </w:p>
        </w:tc>
        <w:tc>
          <w:tcPr>
            <w:tcW w:type="dxa" w:w="1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FR</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Verfassungsidentität + équivalence-des-protections-Prüfung als Abwehrmechanismus gegen EU-Recht</w:t>
            </w:r>
          </w:p>
        </w:tc>
      </w:tr>
      <w:tr>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French Data Network (CE 21.04.2021)</w:t>
            </w:r>
          </w:p>
        </w:tc>
        <w:tc>
          <w:tcPr>
            <w:tcW w:type="dxa" w:w="1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FR</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Ablehnung der ultra-vires-Kontrolle; gleichzeitig Arcelor-Anwendung bei nationaler Sicherheit → Stufe-3-Override-Trigger</w:t>
            </w:r>
          </w:p>
        </w:tc>
      </w:tr>
      <w:tr>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Granital (Corte Cost. 170/1984)</w:t>
            </w:r>
          </w:p>
        </w:tc>
        <w:tc>
          <w:tcPr>
            <w:tcW w:type="dxa" w:w="1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IT</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Anerkennung EU-Vorrang mit Controlimiti-Vorbehalt</w:t>
            </w:r>
          </w:p>
        </w:tc>
      </w:tr>
      <w:tr>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Taricco I (C-105/14, 08.09.2015)</w:t>
            </w:r>
          </w:p>
        </w:tc>
        <w:tc>
          <w:tcPr>
            <w:tcW w:type="dxa" w:w="1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EU↔IT</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Verjährungsfrist-Nichtanwendung bei Verletzung Art. 325 AEUV</w:t>
            </w:r>
          </w:p>
        </w:tc>
      </w:tr>
      <w:tr>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Corte Cost. Ordinanza 24/2017</w:t>
            </w:r>
          </w:p>
        </w:tc>
        <w:tc>
          <w:tcPr>
            <w:tcW w:type="dxa" w:w="1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IT</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Verjährung als materiell-rechtlich → controlimite; Vorlagebeschluss an EuGH</w:t>
            </w:r>
          </w:p>
        </w:tc>
      </w:tr>
      <w:tr>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Taricco II (C-42/17, 05.12.2017, M.A.S./M.B.)</w:t>
            </w:r>
          </w:p>
        </w:tc>
        <w:tc>
          <w:tcPr>
            <w:tcW w:type="dxa" w:w="1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EU↔IT</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EuGH-Rücknahme: Gesetzmäßigkeitsprinzip als Grenze</w:t>
            </w:r>
          </w:p>
        </w:tc>
      </w:tr>
      <w:tr>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Corte Cost. 115/2018</w:t>
            </w:r>
          </w:p>
        </w:tc>
        <w:tc>
          <w:tcPr>
            <w:tcW w:type="dxa" w:w="1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IT</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Formales Ende der Taricco-Krise; Controlimiti bestätigt</w:t>
            </w:r>
          </w:p>
        </w:tc>
      </w:tr>
      <w:tr>
        <w:tc>
          <w:tcPr>
            <w:tcW w:type="dxa" w:w="2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Corte Cost. 269/2017</w:t>
            </w:r>
          </w:p>
        </w:tc>
        <w:tc>
          <w:tcPr>
            <w:tcW w:type="dxa" w:w="1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IT</w:t>
            </w:r>
          </w:p>
        </w:tc>
        <w:tc>
          <w:tcPr>
            <w:tcW w:type="dxa" w:w="5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Doppelte Präjudizialität: bei GRC + Cost. zuerst Corte Costituzionale, dann EuGH</w:t>
            </w:r>
          </w:p>
        </w:tc>
      </w:tr>
    </w:tbl>
    <w:p>
      <w:pPr>
        <w:pStyle w:val="Heading1"/>
        <w:spacing w:after="180" w:before="360"/>
      </w:pPr>
      <w:r>
        <w:rPr>
          <w:b/>
          <w:bCs/>
        </w:rPr>
        <w:t xml:space="preserve">8. Entwicklungs-Roadmap (Fortschreibung)</w:t>
      </w:r>
    </w:p>
    <w:p>
      <w:pPr>
        <w:spacing w:after="120" w:line="300"/>
      </w:pPr>
      <w:r>
        <w:t xml:space="preserve">v0.4 definierte Phase 3a (NL-Adapter), 3b (EU horizontal), 3c (sektorale Module), 4 (weitere Länder). Die FR/IT-Erweiterung füllt Phase 3c zum Teil und verlangt zusätzlich Phasen 3d–3g.</w:t>
      </w:r>
    </w:p>
    <w:p>
      <w:pPr>
        <w:pStyle w:val="Heading2"/>
        <w:spacing w:after="120" w:before="240"/>
      </w:pPr>
      <w:r>
        <w:rPr>
          <w:b/>
          <w:bCs/>
        </w:rPr>
        <w:t xml:space="preserve">Phase 3c: FR-Adapter Standard (6–10 Wochen)</w:t>
      </w:r>
    </w:p>
    <w:p>
      <w:pPr>
        <w:pStyle w:val="ListParagraph"/>
        <w:numPr>
          <w:ilvl w:val="0"/>
          <w:numId w:val="2"/>
        </w:numPr>
        <w:spacing w:after="80" w:line="280"/>
      </w:pPr>
      <w:r>
        <w:t xml:space="preserve">Legifrance-Ingestion: Constitution + CGCT + sektorale Kodizes.</w:t>
      </w:r>
    </w:p>
    <w:p>
      <w:pPr>
        <w:pStyle w:val="ListParagraph"/>
        <w:numPr>
          <w:ilvl w:val="0"/>
          <w:numId w:val="2"/>
        </w:numPr>
        <w:spacing w:after="80" w:line="280"/>
      </w:pPr>
      <w:r>
        <w:t xml:space="preserve">Blocs-de-compétences-Parser: État/Région/Département/Commune/EPCI (generisch).</w:t>
      </w:r>
    </w:p>
    <w:p>
      <w:pPr>
        <w:pStyle w:val="ListParagraph"/>
        <w:numPr>
          <w:ilvl w:val="0"/>
          <w:numId w:val="2"/>
        </w:numPr>
        <w:spacing w:after="80" w:line="280"/>
      </w:pPr>
      <w:r>
        <w:t xml:space="preserve">BANATIC-Batch-Importer mit Versionierung; explizit ohne Produktions-API.</w:t>
      </w:r>
    </w:p>
    <w:p>
      <w:pPr>
        <w:pStyle w:val="ListParagraph"/>
        <w:numPr>
          <w:ilvl w:val="0"/>
          <w:numId w:val="2"/>
        </w:numPr>
        <w:spacing w:after="80" w:line="280"/>
      </w:pPr>
      <w:r>
        <w:t xml:space="preserve">Répertoire-des-services-publics-Mapping auf CPSV-AP.</w:t>
      </w:r>
    </w:p>
    <w:p>
      <w:pPr>
        <w:pStyle w:val="ListParagraph"/>
        <w:numPr>
          <w:ilvl w:val="0"/>
          <w:numId w:val="2"/>
        </w:numPr>
        <w:spacing w:after="80" w:line="280"/>
      </w:pPr>
      <w:r>
        <w:t xml:space="preserve">Jurisprudenz-Trigger: Arcelor-Prüfroutine für Inputs mit nationaler-Sicherheit-Signal.</w:t>
      </w:r>
    </w:p>
    <w:p>
      <w:pPr>
        <w:pStyle w:val="Heading2"/>
        <w:spacing w:after="120" w:before="240"/>
      </w:pPr>
      <w:r>
        <w:rPr>
          <w:b/>
          <w:bCs/>
        </w:rPr>
        <w:t xml:space="preserve">Phase 3d: IT-Adapter Standard (6–10 Wochen)</w:t>
      </w:r>
    </w:p>
    <w:p>
      <w:pPr>
        <w:pStyle w:val="ListParagraph"/>
        <w:numPr>
          <w:ilvl w:val="0"/>
          <w:numId w:val="2"/>
        </w:numPr>
        <w:spacing w:after="80" w:line="280"/>
      </w:pPr>
      <w:r>
        <w:t xml:space="preserve">Normattiva-Ingestion: Costituzione Art. 114–119 + TUEL.</w:t>
      </w:r>
    </w:p>
    <w:p>
      <w:pPr>
        <w:pStyle w:val="ListParagraph"/>
        <w:numPr>
          <w:ilvl w:val="0"/>
          <w:numId w:val="2"/>
        </w:numPr>
        <w:spacing w:after="80" w:line="280"/>
      </w:pPr>
      <w:r>
        <w:t xml:space="preserve">Art. 117-Klassifikator mit invertierter Residualregel.</w:t>
      </w:r>
    </w:p>
    <w:p>
      <w:pPr>
        <w:pStyle w:val="ListParagraph"/>
        <w:numPr>
          <w:ilvl w:val="0"/>
          <w:numId w:val="2"/>
        </w:numPr>
        <w:spacing w:after="80" w:line="280"/>
      </w:pPr>
      <w:r>
        <w:t xml:space="preserve">Materie-trasversali-Erkennung → Stufe-3-Auslöser.</w:t>
      </w:r>
    </w:p>
    <w:p>
      <w:pPr>
        <w:pStyle w:val="ListParagraph"/>
        <w:numPr>
          <w:ilvl w:val="0"/>
          <w:numId w:val="2"/>
        </w:numPr>
        <w:spacing w:after="80" w:line="280"/>
      </w:pPr>
      <w:r>
        <w:t xml:space="preserve">AgID-Catalogo + Indice-PA-CKAN-Integration (mit Contract-Test für Quota-Realität).</w:t>
      </w:r>
    </w:p>
    <w:p>
      <w:pPr>
        <w:pStyle w:val="ListParagraph"/>
        <w:numPr>
          <w:ilvl w:val="0"/>
          <w:numId w:val="2"/>
        </w:numPr>
        <w:spacing w:after="80" w:line="280"/>
      </w:pPr>
      <w:r>
        <w:t xml:space="preserve">Jurisprudenz-Trigger: Sentenza-269/2017-Routine für Grundrechts-/Strafrechtsinputs.</w:t>
      </w:r>
    </w:p>
    <w:p>
      <w:pPr>
        <w:pStyle w:val="Heading2"/>
        <w:spacing w:after="120" w:before="240"/>
      </w:pPr>
      <w:r>
        <w:rPr>
          <w:b/>
          <w:bCs/>
        </w:rPr>
        <w:t xml:space="preserve">Phase 3e: EPCI-Klassifikation und FR-Sub-Adapter (4–6 Wochen)</w:t>
      </w:r>
    </w:p>
    <w:p>
      <w:pPr>
        <w:pStyle w:val="ListParagraph"/>
        <w:numPr>
          <w:ilvl w:val="0"/>
          <w:numId w:val="2"/>
        </w:numPr>
        <w:spacing w:after="80" w:line="280"/>
      </w:pPr>
      <w:r>
        <w:t xml:space="preserve">epci_class-Discriminator (CC, CA, CU, MET) mit Pflichtkern-Dispatching.</w:t>
      </w:r>
    </w:p>
    <w:p>
      <w:pPr>
        <w:pStyle w:val="ListParagraph"/>
        <w:numPr>
          <w:ilvl w:val="0"/>
          <w:numId w:val="2"/>
        </w:numPr>
        <w:spacing w:after="80" w:line="280"/>
      </w:pPr>
      <w:r>
        <w:t xml:space="preserve">Sub-Adapter Paris (Art. L2512 CGCT, inkl. Polizei-Sonderzweig).</w:t>
      </w:r>
    </w:p>
    <w:p>
      <w:pPr>
        <w:pStyle w:val="ListParagraph"/>
        <w:numPr>
          <w:ilvl w:val="0"/>
          <w:numId w:val="2"/>
        </w:numPr>
        <w:spacing w:after="80" w:line="280"/>
      </w:pPr>
      <w:r>
        <w:t xml:space="preserve">Sub-Adapter Métropole de Lyon (Art. L3611 CGCT, hybride Ebene).</w:t>
      </w:r>
    </w:p>
    <w:p>
      <w:pPr>
        <w:pStyle w:val="ListParagraph"/>
        <w:numPr>
          <w:ilvl w:val="0"/>
          <w:numId w:val="2"/>
        </w:numPr>
        <w:spacing w:after="80" w:line="280"/>
      </w:pPr>
      <w:r>
        <w:t xml:space="preserve">Sub-Adapter Corse (Art. L4421 CGCT, Vorschlagsrecht Assemblée).</w:t>
      </w:r>
    </w:p>
    <w:p>
      <w:pPr>
        <w:pStyle w:val="ListParagraph"/>
        <w:numPr>
          <w:ilvl w:val="0"/>
          <w:numId w:val="2"/>
        </w:numPr>
        <w:spacing w:after="80" w:line="280"/>
      </w:pPr>
      <w:r>
        <w:t xml:space="preserve">Art73-Familie mit Anpassung/Habilitation/Experiment als drei Sub-Modi.</w:t>
      </w:r>
    </w:p>
    <w:p>
      <w:pPr>
        <w:pStyle w:val="ListParagraph"/>
        <w:numPr>
          <w:ilvl w:val="0"/>
          <w:numId w:val="2"/>
        </w:numPr>
        <w:spacing w:after="80" w:line="280"/>
      </w:pPr>
      <w:r>
        <w:t xml:space="preserve">Art74-Familie (MVP generisch, Produktion: 5 Sub-Adapter).</w:t>
      </w:r>
    </w:p>
    <w:p>
      <w:pPr>
        <w:pStyle w:val="Heading2"/>
        <w:spacing w:after="120" w:before="240"/>
      </w:pPr>
      <w:r>
        <w:rPr>
          <w:b/>
          <w:bCs/>
        </w:rPr>
        <w:t xml:space="preserve">Phase 3f: IT-Statuto-Speciale-Sub-Adapter (6–8 Wochen)</w:t>
      </w:r>
    </w:p>
    <w:p>
      <w:pPr>
        <w:pStyle w:val="ListParagraph"/>
        <w:numPr>
          <w:ilvl w:val="0"/>
          <w:numId w:val="2"/>
        </w:numPr>
        <w:spacing w:after="80" w:line="280"/>
      </w:pPr>
      <w:r>
        <w:t xml:space="preserve">Sicilia (Statuto Art. 14, 17 + 2025er Finanznormen).</w:t>
      </w:r>
    </w:p>
    <w:p>
      <w:pPr>
        <w:pStyle w:val="ListParagraph"/>
        <w:numPr>
          <w:ilvl w:val="0"/>
          <w:numId w:val="2"/>
        </w:numPr>
        <w:spacing w:after="80" w:line="280"/>
      </w:pPr>
      <w:r>
        <w:t xml:space="preserve">Sardegna (Statuto Art. 3 + Durchführungsnormen).</w:t>
      </w:r>
    </w:p>
    <w:p>
      <w:pPr>
        <w:pStyle w:val="ListParagraph"/>
        <w:numPr>
          <w:ilvl w:val="0"/>
          <w:numId w:val="2"/>
        </w:numPr>
        <w:spacing w:after="80" w:line="280"/>
      </w:pPr>
      <w:r>
        <w:t xml:space="preserve">Valle d'Aosta (Statuto + Finanzordnung lokaler Körperschaften).</w:t>
      </w:r>
    </w:p>
    <w:p>
      <w:pPr>
        <w:pStyle w:val="ListParagraph"/>
        <w:numPr>
          <w:ilvl w:val="0"/>
          <w:numId w:val="2"/>
        </w:numPr>
        <w:spacing w:after="80" w:line="280"/>
      </w:pPr>
      <w:r>
        <w:t xml:space="preserve">Friuli-Venezia Giulia (Statuto Art. 4 + 2026er Verfassungsgesetz — versionieren).</w:t>
      </w:r>
    </w:p>
    <w:p>
      <w:pPr>
        <w:pStyle w:val="ListParagraph"/>
        <w:numPr>
          <w:ilvl w:val="0"/>
          <w:numId w:val="2"/>
        </w:numPr>
        <w:spacing w:after="80" w:line="280"/>
      </w:pPr>
      <w:r>
        <w:t xml:space="preserve">Trento und Bolzano separat (Statuto Art. 8 — eigenständige Provinz-Potestà).</w:t>
      </w:r>
    </w:p>
    <w:p>
      <w:pPr>
        <w:pStyle w:val="ListParagraph"/>
        <w:numPr>
          <w:ilvl w:val="0"/>
          <w:numId w:val="2"/>
        </w:numPr>
        <w:spacing w:after="80" w:line="280"/>
      </w:pPr>
      <w:r>
        <w:t xml:space="preserve">7 Regelwerke gesamt plus Region-TAA als Hülle.</w:t>
      </w:r>
    </w:p>
    <w:p>
      <w:pPr>
        <w:pStyle w:val="Heading2"/>
        <w:spacing w:after="120" w:before="240"/>
      </w:pPr>
      <w:r>
        <w:rPr>
          <w:b/>
          <w:bCs/>
        </w:rPr>
        <w:t xml:space="preserve">Phase 3g: 7-Stufen-Override-Register-Migration (2 Wochen)</w:t>
      </w:r>
    </w:p>
    <w:p>
      <w:pPr>
        <w:pStyle w:val="ListParagraph"/>
        <w:numPr>
          <w:ilvl w:val="0"/>
          <w:numId w:val="2"/>
        </w:numPr>
        <w:spacing w:after="80" w:line="280"/>
      </w:pPr>
      <w:r>
        <w:t xml:space="preserve">Bestehende Adapter DE/NL/EU auf Stufen 4–7 umnummerieren.</w:t>
      </w:r>
    </w:p>
    <w:p>
      <w:pPr>
        <w:pStyle w:val="ListParagraph"/>
        <w:numPr>
          <w:ilvl w:val="0"/>
          <w:numId w:val="2"/>
        </w:numPr>
        <w:spacing w:after="80" w:line="280"/>
      </w:pPr>
      <w:r>
        <w:t xml:space="preserve">Stufe-3-Hooks für DE (Art. 84/85 GG Bundesaufsicht) und NL (medebewind als Durchbruchsform) aktivieren.</w:t>
      </w:r>
    </w:p>
    <w:p>
      <w:pPr>
        <w:pStyle w:val="ListParagraph"/>
        <w:numPr>
          <w:ilvl w:val="0"/>
          <w:numId w:val="2"/>
        </w:numPr>
        <w:spacing w:after="80" w:line="280"/>
      </w:pPr>
      <w:r>
        <w:t xml:space="preserve">Backward-compat-Warnung im Output-Format für Callers, die alte Stufen referenzieren.</w:t>
      </w:r>
    </w:p>
    <w:p>
      <w:pPr>
        <w:pStyle w:val="Heading2"/>
        <w:spacing w:after="120" w:before="240"/>
      </w:pPr>
      <w:r>
        <w:rPr>
          <w:b/>
          <w:bCs/>
        </w:rPr>
        <w:t xml:space="preserve">Phase 4: Weitere EU-Länder (ab Q2 2027)</w:t>
      </w:r>
    </w:p>
    <w:p>
      <w:pPr>
        <w:spacing w:after="120" w:line="300"/>
      </w:pPr>
      <w:r>
        <w:t xml:space="preserve">Mit FR und IT ist die Architektur-Spannweite vollständig abgedeckt (dezentralisierter Einheitsstaat, regionalisiert-quasiföderal, föderal, unitarisch-organisationsrechtlich, supranational). Weitere Länder benötigen keine Architektur-Änderungen mehr, nur Adapter-Implementierungen: AT (föderal, Bundesländer), BE (komplex föderal mit sprachregionaler Asymmetrie — nutzt v0.5-Sub-Adapter-Pattern), PL (einheitsstaatlich mit Wojewodschaften).</w:t>
      </w:r>
    </w:p>
    <w:p>
      <w:pPr>
        <w:pStyle w:val="Heading1"/>
        <w:spacing w:after="180" w:before="360"/>
      </w:pPr>
      <w:r>
        <w:rPr>
          <w:b/>
          <w:bCs/>
        </w:rPr>
        <w:t xml:space="preserve">9. Nutzung</w:t>
      </w:r>
    </w:p>
    <w:p>
      <w:pPr>
        <w:pStyle w:val="Heading2"/>
        <w:spacing w:after="120" w:before="240"/>
      </w:pPr>
      <w:r>
        <w:rPr>
          <w:b/>
          <w:bCs/>
        </w:rPr>
        <w:t xml:space="preserve">9.1 FR Outre-mer (Art. 73 Guadeloupe)</w:t>
      </w:r>
    </w:p>
    <w:p>
      <w:pPr>
        <w:shd w:fill="F2F2F2" w:val="clear"/>
        <w:spacing w:after="0" w:line="240"/>
      </w:pPr>
      <w:r>
        <w:rPr>
          <w:rFonts w:ascii="Consolas" w:cs="Consolas" w:eastAsia="Consolas" w:hAnsi="Consolas"/>
          <w:sz w:val="18"/>
          <w:szCs w:val="18"/>
        </w:rPr>
        <w:t xml:space="preserve">const result = await findZustaendigkeit("Anpassung Mindestlohn an lokale Lebenshaltungskosten", {</w:t>
      </w:r>
    </w:p>
    <w:p>
      <w:pPr>
        <w:shd w:fill="F2F2F2" w:val="clear"/>
        <w:spacing w:after="0" w:line="240"/>
      </w:pPr>
      <w:r>
        <w:rPr>
          <w:rFonts w:ascii="Consolas" w:cs="Consolas" w:eastAsia="Consolas" w:hAnsi="Consolas"/>
          <w:sz w:val="18"/>
          <w:szCs w:val="18"/>
        </w:rPr>
        <w:t xml:space="preserve">  country: "FR",</w:t>
      </w:r>
    </w:p>
    <w:p>
      <w:pPr>
        <w:shd w:fill="F2F2F2" w:val="clear"/>
        <w:spacing w:after="0" w:line="240"/>
      </w:pPr>
      <w:r>
        <w:rPr>
          <w:rFonts w:ascii="Consolas" w:cs="Consolas" w:eastAsia="Consolas" w:hAnsi="Consolas"/>
          <w:sz w:val="18"/>
          <w:szCs w:val="18"/>
        </w:rPr>
        <w:t xml:space="preserve">  territorium: "Guadeloupe"</w:t>
      </w:r>
    </w:p>
    <w:p>
      <w:pPr>
        <w:shd w:fill="F2F2F2" w:val="clear"/>
        <w:spacing w:after="0" w:line="240"/>
      </w:pPr>
      <w:r>
        <w:rPr>
          <w:rFonts w:ascii="Consolas" w:cs="Consolas" w:eastAsia="Consolas" w:hAnsi="Consolas"/>
          <w:sz w:val="18"/>
          <w:szCs w:val="18"/>
        </w:rPr>
        <w:t xml:space="preserve">});</w:t>
      </w:r>
    </w:p>
    <w:p>
      <w:pPr>
        <w:shd w:fill="F2F2F2" w:val="clear"/>
        <w:spacing w:after="0" w:line="240"/>
      </w:pPr>
      <w:r>
        <w:rPr>
          <w:rFonts w:ascii="Consolas" w:cs="Consolas" w:eastAsia="Consolas" w:hAnsi="Consolas"/>
          <w:sz w:val="18"/>
          <w:szCs w:val="18"/>
        </w:rPr>
        <w:t xml:space="preserve">// =&gt; authorities: [</w:t>
      </w:r>
    </w:p>
    <w:p>
      <w:pPr>
        <w:shd w:fill="F2F2F2" w:val="clear"/>
        <w:spacing w:after="0" w:line="240"/>
      </w:pPr>
      <w:r>
        <w:rPr>
          <w:rFonts w:ascii="Consolas" w:cs="Consolas" w:eastAsia="Consolas" w:hAnsi="Consolas"/>
          <w:sz w:val="18"/>
          <w:szCs w:val="18"/>
        </w:rPr>
        <w:t xml:space="preserve">//   { name: "L'État", level: "État", category: "zustaendig",</w:t>
      </w:r>
    </w:p>
    <w:p>
      <w:pPr>
        <w:shd w:fill="F2F2F2" w:val="clear"/>
        <w:spacing w:after="0" w:line="240"/>
      </w:pPr>
      <w:r>
        <w:rPr>
          <w:rFonts w:ascii="Consolas" w:cs="Consolas" w:eastAsia="Consolas" w:hAnsi="Consolas"/>
          <w:sz w:val="18"/>
          <w:szCs w:val="18"/>
        </w:rPr>
        <w:t xml:space="preserve">//     basis: ["Code du travail", "Constitution Art. 73"] },</w:t>
      </w:r>
    </w:p>
    <w:p>
      <w:pPr>
        <w:shd w:fill="F2F2F2" w:val="clear"/>
        <w:spacing w:after="0" w:line="240"/>
      </w:pPr>
      <w:r>
        <w:rPr>
          <w:rFonts w:ascii="Consolas" w:cs="Consolas" w:eastAsia="Consolas" w:hAnsi="Consolas"/>
          <w:sz w:val="18"/>
          <w:szCs w:val="18"/>
        </w:rPr>
        <w:t xml:space="preserve">//   { name: "Région Guadeloupe", level: "Région",</w:t>
      </w:r>
    </w:p>
    <w:p>
      <w:pPr>
        <w:shd w:fill="F2F2F2" w:val="clear"/>
        <w:spacing w:after="0" w:line="240"/>
      </w:pPr>
      <w:r>
        <w:rPr>
          <w:rFonts w:ascii="Consolas" w:cs="Consolas" w:eastAsia="Consolas" w:hAnsi="Consolas"/>
          <w:sz w:val="18"/>
          <w:szCs w:val="18"/>
        </w:rPr>
        <w:t xml:space="preserve">//     sub_adapter_id: "fr.art73.guadeloupe", category: "mitwirkend",</w:t>
      </w:r>
    </w:p>
    <w:p>
      <w:pPr>
        <w:shd w:fill="F2F2F2" w:val="clear"/>
        <w:spacing w:after="0" w:line="240"/>
      </w:pPr>
      <w:r>
        <w:rPr>
          <w:rFonts w:ascii="Consolas" w:cs="Consolas" w:eastAsia="Consolas" w:hAnsi="Consolas"/>
          <w:sz w:val="18"/>
          <w:szCs w:val="18"/>
        </w:rPr>
        <w:t xml:space="preserve">//     role: "Habilitation possible per Art. 73 al. 3", basis: ["Constitution Art. 73"] }</w:t>
      </w:r>
    </w:p>
    <w:p>
      <w:pPr>
        <w:shd w:fill="F2F2F2" w:val="clear"/>
        <w:spacing w:after="0" w:line="240"/>
      </w:pPr>
      <w:r>
        <w:rPr>
          <w:rFonts w:ascii="Consolas" w:cs="Consolas" w:eastAsia="Consolas" w:hAnsi="Consolas"/>
          <w:sz w:val="18"/>
          <w:szCs w:val="18"/>
        </w:rPr>
        <w:t xml:space="preserve">// ],</w:t>
      </w:r>
    </w:p>
    <w:p>
      <w:pPr>
        <w:shd w:fill="F2F2F2" w:val="clear"/>
        <w:spacing w:after="0" w:line="240"/>
      </w:pPr>
      <w:r>
        <w:rPr>
          <w:rFonts w:ascii="Consolas" w:cs="Consolas" w:eastAsia="Consolas" w:hAnsi="Consolas"/>
          <w:sz w:val="18"/>
          <w:szCs w:val="18"/>
        </w:rPr>
        <w:t xml:space="preserve">// override_applied: "Stufe 4 (nationale Spezialzust.) + Art.73-Lockerungsinstrument"</w:t>
      </w:r>
    </w:p>
    <w:p>
      <w:pPr>
        <w:pStyle w:val="Heading2"/>
        <w:spacing w:after="120" w:before="240"/>
      </w:pPr>
      <w:r>
        <w:rPr>
          <w:b/>
          <w:bCs/>
        </w:rPr>
        <w:t xml:space="preserve">9.2 IT Sardegna — Arbeitsvermittlung</w:t>
      </w:r>
    </w:p>
    <w:p>
      <w:pPr>
        <w:shd w:fill="F2F2F2" w:val="clear"/>
        <w:spacing w:after="0" w:line="240"/>
      </w:pPr>
      <w:r>
        <w:rPr>
          <w:rFonts w:ascii="Consolas" w:cs="Consolas" w:eastAsia="Consolas" w:hAnsi="Consolas"/>
          <w:sz w:val="18"/>
          <w:szCs w:val="18"/>
        </w:rPr>
        <w:t xml:space="preserve">const result = await findZustaendigkeit("Regionale Arbeitsvermittlung reformieren", {</w:t>
      </w:r>
    </w:p>
    <w:p>
      <w:pPr>
        <w:shd w:fill="F2F2F2" w:val="clear"/>
        <w:spacing w:after="0" w:line="240"/>
      </w:pPr>
      <w:r>
        <w:rPr>
          <w:rFonts w:ascii="Consolas" w:cs="Consolas" w:eastAsia="Consolas" w:hAnsi="Consolas"/>
          <w:sz w:val="18"/>
          <w:szCs w:val="18"/>
        </w:rPr>
        <w:t xml:space="preserve">  country: "IT",</w:t>
      </w:r>
    </w:p>
    <w:p>
      <w:pPr>
        <w:shd w:fill="F2F2F2" w:val="clear"/>
        <w:spacing w:after="0" w:line="240"/>
      </w:pPr>
      <w:r>
        <w:rPr>
          <w:rFonts w:ascii="Consolas" w:cs="Consolas" w:eastAsia="Consolas" w:hAnsi="Consolas"/>
          <w:sz w:val="18"/>
          <w:szCs w:val="18"/>
        </w:rPr>
        <w:t xml:space="preserve">  territorium: "Sardegna"</w:t>
      </w:r>
    </w:p>
    <w:p>
      <w:pPr>
        <w:shd w:fill="F2F2F2" w:val="clear"/>
        <w:spacing w:after="0" w:line="240"/>
      </w:pPr>
      <w:r>
        <w:rPr>
          <w:rFonts w:ascii="Consolas" w:cs="Consolas" w:eastAsia="Consolas" w:hAnsi="Consolas"/>
          <w:sz w:val="18"/>
          <w:szCs w:val="18"/>
        </w:rPr>
        <w:t xml:space="preserve">});</w:t>
      </w:r>
    </w:p>
    <w:p>
      <w:pPr>
        <w:shd w:fill="F2F2F2" w:val="clear"/>
        <w:spacing w:after="0" w:line="240"/>
      </w:pPr>
      <w:r>
        <w:rPr>
          <w:rFonts w:ascii="Consolas" w:cs="Consolas" w:eastAsia="Consolas" w:hAnsi="Consolas"/>
          <w:sz w:val="18"/>
          <w:szCs w:val="18"/>
        </w:rPr>
        <w:t xml:space="preserve">// =&gt; authorities: [</w:t>
      </w:r>
    </w:p>
    <w:p>
      <w:pPr>
        <w:shd w:fill="F2F2F2" w:val="clear"/>
        <w:spacing w:after="0" w:line="240"/>
      </w:pPr>
      <w:r>
        <w:rPr>
          <w:rFonts w:ascii="Consolas" w:cs="Consolas" w:eastAsia="Consolas" w:hAnsi="Consolas"/>
          <w:sz w:val="18"/>
          <w:szCs w:val="18"/>
        </w:rPr>
        <w:t xml:space="preserve">//   { name: "Regione Autonoma della Sardegna", level: "Regione",</w:t>
      </w:r>
    </w:p>
    <w:p>
      <w:pPr>
        <w:shd w:fill="F2F2F2" w:val="clear"/>
        <w:spacing w:after="0" w:line="240"/>
      </w:pPr>
      <w:r>
        <w:rPr>
          <w:rFonts w:ascii="Consolas" w:cs="Consolas" w:eastAsia="Consolas" w:hAnsi="Consolas"/>
          <w:sz w:val="18"/>
          <w:szCs w:val="18"/>
        </w:rPr>
        <w:t xml:space="preserve">//     sub_adapter_id: "it.statuto.sardegna", statuto_speciale: true,</w:t>
      </w:r>
    </w:p>
    <w:p>
      <w:pPr>
        <w:shd w:fill="F2F2F2" w:val="clear"/>
        <w:spacing w:after="0" w:line="240"/>
      </w:pPr>
      <w:r>
        <w:rPr>
          <w:rFonts w:ascii="Consolas" w:cs="Consolas" w:eastAsia="Consolas" w:hAnsi="Consolas"/>
          <w:sz w:val="18"/>
          <w:szCs w:val="18"/>
        </w:rPr>
        <w:t xml:space="preserve">//     category: "zustaendig",</w:t>
      </w:r>
    </w:p>
    <w:p>
      <w:pPr>
        <w:shd w:fill="F2F2F2" w:val="clear"/>
        <w:spacing w:after="0" w:line="240"/>
      </w:pPr>
      <w:r>
        <w:rPr>
          <w:rFonts w:ascii="Consolas" w:cs="Consolas" w:eastAsia="Consolas" w:hAnsi="Consolas"/>
          <w:sz w:val="18"/>
          <w:szCs w:val="18"/>
        </w:rPr>
        <w:t xml:space="preserve">//     basis: ["Cost. Art. 116", "Statuto Sardegna Art. 3",</w:t>
      </w:r>
    </w:p>
    <w:p>
      <w:pPr>
        <w:shd w:fill="F2F2F2" w:val="clear"/>
        <w:spacing w:after="0" w:line="240"/>
      </w:pPr>
      <w:r>
        <w:rPr>
          <w:rFonts w:ascii="Consolas" w:cs="Consolas" w:eastAsia="Consolas" w:hAnsi="Consolas"/>
          <w:sz w:val="18"/>
          <w:szCs w:val="18"/>
        </w:rPr>
        <w:t xml:space="preserve">//             "Norme di attuazione - Arbeit/Arbeitsvermittlung"] }</w:t>
      </w:r>
    </w:p>
    <w:p>
      <w:pPr>
        <w:shd w:fill="F2F2F2" w:val="clear"/>
        <w:spacing w:after="0" w:line="240"/>
      </w:pPr>
      <w:r>
        <w:rPr>
          <w:rFonts w:ascii="Consolas" w:cs="Consolas" w:eastAsia="Consolas" w:hAnsi="Consolas"/>
          <w:sz w:val="18"/>
          <w:szCs w:val="18"/>
        </w:rPr>
        <w:t xml:space="preserve">// ],</w:t>
      </w:r>
    </w:p>
    <w:p>
      <w:pPr>
        <w:shd w:fill="F2F2F2" w:val="clear"/>
        <w:spacing w:after="0" w:line="240"/>
      </w:pPr>
      <w:r>
        <w:rPr>
          <w:rFonts w:ascii="Consolas" w:cs="Consolas" w:eastAsia="Consolas" w:hAnsi="Consolas"/>
          <w:sz w:val="18"/>
          <w:szCs w:val="18"/>
        </w:rPr>
        <w:t xml:space="preserve">// override_applied: "Stufe 4 — Sub-Adapter statuto speciale"</w:t>
      </w:r>
    </w:p>
    <w:p>
      <w:pPr>
        <w:pStyle w:val="Heading2"/>
        <w:spacing w:after="120" w:before="240"/>
      </w:pPr>
      <w:r>
        <w:rPr>
          <w:b/>
          <w:bCs/>
        </w:rPr>
        <w:t xml:space="preserve">9.3 IT-Strafrecht mit Sentenza-269-Eskalation</w:t>
      </w:r>
    </w:p>
    <w:p>
      <w:pPr>
        <w:shd w:fill="F2F2F2" w:val="clear"/>
        <w:spacing w:after="0" w:line="240"/>
      </w:pPr>
      <w:r>
        <w:rPr>
          <w:rFonts w:ascii="Consolas" w:cs="Consolas" w:eastAsia="Consolas" w:hAnsi="Consolas"/>
          <w:sz w:val="18"/>
          <w:szCs w:val="18"/>
        </w:rPr>
        <w:t xml:space="preserve">const result = await findZustaendigkeit(</w:t>
      </w:r>
    </w:p>
    <w:p>
      <w:pPr>
        <w:shd w:fill="F2F2F2" w:val="clear"/>
        <w:spacing w:after="0" w:line="240"/>
      </w:pPr>
      <w:r>
        <w:rPr>
          <w:rFonts w:ascii="Consolas" w:cs="Consolas" w:eastAsia="Consolas" w:hAnsi="Consolas"/>
          <w:sz w:val="18"/>
          <w:szCs w:val="18"/>
        </w:rPr>
        <w:t xml:space="preserve">  "Verjaehrungsfrist Mehrwertsteuerbetrug rueckwirkend verlaengern",</w:t>
      </w:r>
    </w:p>
    <w:p>
      <w:pPr>
        <w:shd w:fill="F2F2F2" w:val="clear"/>
        <w:spacing w:after="0" w:line="240"/>
      </w:pPr>
      <w:r>
        <w:rPr>
          <w:rFonts w:ascii="Consolas" w:cs="Consolas" w:eastAsia="Consolas" w:hAnsi="Consolas"/>
          <w:sz w:val="18"/>
          <w:szCs w:val="18"/>
        </w:rPr>
        <w:t xml:space="preserve">  { country: "IT" }</w:t>
      </w:r>
    </w:p>
    <w:p>
      <w:pPr>
        <w:shd w:fill="F2F2F2" w:val="clear"/>
        <w:spacing w:after="0" w:line="240"/>
      </w:pPr>
      <w:r>
        <w:rPr>
          <w:rFonts w:ascii="Consolas" w:cs="Consolas" w:eastAsia="Consolas" w:hAnsi="Consolas"/>
          <w:sz w:val="18"/>
          <w:szCs w:val="18"/>
        </w:rPr>
        <w:t xml:space="preserve">);</w:t>
      </w:r>
    </w:p>
    <w:p>
      <w:pPr>
        <w:shd w:fill="F2F2F2" w:val="clear"/>
        <w:spacing w:after="0" w:line="240"/>
      </w:pPr>
      <w:r>
        <w:rPr>
          <w:rFonts w:ascii="Consolas" w:cs="Consolas" w:eastAsia="Consolas" w:hAnsi="Consolas"/>
          <w:sz w:val="18"/>
          <w:szCs w:val="18"/>
        </w:rPr>
        <w:t xml:space="preserve">// =&gt; authorities: [</w:t>
      </w:r>
    </w:p>
    <w:p>
      <w:pPr>
        <w:shd w:fill="F2F2F2" w:val="clear"/>
        <w:spacing w:after="0" w:line="240"/>
      </w:pPr>
      <w:r>
        <w:rPr>
          <w:rFonts w:ascii="Consolas" w:cs="Consolas" w:eastAsia="Consolas" w:hAnsi="Consolas"/>
          <w:sz w:val="18"/>
          <w:szCs w:val="18"/>
        </w:rPr>
        <w:t xml:space="preserve">//   { name: "Corte Costituzionale", level: "Verfassungsgericht",</w:t>
      </w:r>
    </w:p>
    <w:p>
      <w:pPr>
        <w:shd w:fill="F2F2F2" w:val="clear"/>
        <w:spacing w:after="0" w:line="240"/>
      </w:pPr>
      <w:r>
        <w:rPr>
          <w:rFonts w:ascii="Consolas" w:cs="Consolas" w:eastAsia="Consolas" w:hAnsi="Consolas"/>
          <w:sz w:val="18"/>
          <w:szCs w:val="18"/>
        </w:rPr>
        <w:t xml:space="preserve">//     category: "eskalationsfaehig",</w:t>
      </w:r>
    </w:p>
    <w:p>
      <w:pPr>
        <w:shd w:fill="F2F2F2" w:val="clear"/>
        <w:spacing w:after="0" w:line="240"/>
      </w:pPr>
      <w:r>
        <w:rPr>
          <w:rFonts w:ascii="Consolas" w:cs="Consolas" w:eastAsia="Consolas" w:hAnsi="Consolas"/>
          <w:sz w:val="18"/>
          <w:szCs w:val="18"/>
        </w:rPr>
        <w:t xml:space="preserve">//     role: "doppelte Praejudizialitaet (Sent. 269/2017)",</w:t>
      </w:r>
    </w:p>
    <w:p>
      <w:pPr>
        <w:shd w:fill="F2F2F2" w:val="clear"/>
        <w:spacing w:after="0" w:line="240"/>
      </w:pPr>
      <w:r>
        <w:rPr>
          <w:rFonts w:ascii="Consolas" w:cs="Consolas" w:eastAsia="Consolas" w:hAnsi="Consolas"/>
          <w:sz w:val="18"/>
          <w:szCs w:val="18"/>
        </w:rPr>
        <w:t xml:space="preserve">//     basis: ["Cost. Art. 25 Abs. 2", "Sent. 115/2018", "Controlimiti"] },</w:t>
      </w:r>
    </w:p>
    <w:p>
      <w:pPr>
        <w:shd w:fill="F2F2F2" w:val="clear"/>
        <w:spacing w:after="0" w:line="240"/>
      </w:pPr>
      <w:r>
        <w:rPr>
          <w:rFonts w:ascii="Consolas" w:cs="Consolas" w:eastAsia="Consolas" w:hAnsi="Consolas"/>
          <w:sz w:val="18"/>
          <w:szCs w:val="18"/>
        </w:rPr>
        <w:t xml:space="preserve">//   { name: "EuGH", level: "EU", category: "eskalationsfaehig",</w:t>
      </w:r>
    </w:p>
    <w:p>
      <w:pPr>
        <w:shd w:fill="F2F2F2" w:val="clear"/>
        <w:spacing w:after="0" w:line="240"/>
      </w:pPr>
      <w:r>
        <w:rPr>
          <w:rFonts w:ascii="Consolas" w:cs="Consolas" w:eastAsia="Consolas" w:hAnsi="Consolas"/>
          <w:sz w:val="18"/>
          <w:szCs w:val="18"/>
        </w:rPr>
        <w:t xml:space="preserve">//     role: "Art. 267 AEUV nach Corte-Entscheidung",</w:t>
      </w:r>
    </w:p>
    <w:p>
      <w:pPr>
        <w:shd w:fill="F2F2F2" w:val="clear"/>
        <w:spacing w:after="0" w:line="240"/>
      </w:pPr>
      <w:r>
        <w:rPr>
          <w:rFonts w:ascii="Consolas" w:cs="Consolas" w:eastAsia="Consolas" w:hAnsi="Consolas"/>
          <w:sz w:val="18"/>
          <w:szCs w:val="18"/>
        </w:rPr>
        <w:t xml:space="preserve">//     basis: ["AEUV Art. 325", "Taricco II (C-42/17)"] }</w:t>
      </w:r>
    </w:p>
    <w:p>
      <w:pPr>
        <w:shd w:fill="F2F2F2" w:val="clear"/>
        <w:spacing w:after="0" w:line="240"/>
      </w:pPr>
      <w:r>
        <w:rPr>
          <w:rFonts w:ascii="Consolas" w:cs="Consolas" w:eastAsia="Consolas" w:hAnsi="Consolas"/>
          <w:sz w:val="18"/>
          <w:szCs w:val="18"/>
        </w:rPr>
        <w:t xml:space="preserve">// ],</w:t>
      </w:r>
    </w:p>
    <w:p>
      <w:pPr>
        <w:shd w:fill="F2F2F2" w:val="clear"/>
        <w:spacing w:after="0" w:line="240"/>
      </w:pPr>
      <w:r>
        <w:rPr>
          <w:rFonts w:ascii="Consolas" w:cs="Consolas" w:eastAsia="Consolas" w:hAnsi="Consolas"/>
          <w:sz w:val="18"/>
          <w:szCs w:val="18"/>
        </w:rPr>
        <w:t xml:space="preserve">// override_applied: "Stufe 7 (gerichtlicher Eskalationspfad) mit IT-spezifischer Reihenfolge"</w:t>
      </w:r>
    </w:p>
    <w:p>
      <w:pPr>
        <w:pStyle w:val="Heading2"/>
        <w:spacing w:after="120" w:before="240"/>
      </w:pPr>
      <w:r>
        <w:rPr>
          <w:b/>
          <w:bCs/>
        </w:rPr>
        <w:t xml:space="preserve">9.4 Paris mit Polizei-Sonderzweig</w:t>
      </w:r>
    </w:p>
    <w:p>
      <w:pPr>
        <w:shd w:fill="F2F2F2" w:val="clear"/>
        <w:spacing w:after="0" w:line="240"/>
      </w:pPr>
      <w:r>
        <w:rPr>
          <w:rFonts w:ascii="Consolas" w:cs="Consolas" w:eastAsia="Consolas" w:hAnsi="Consolas"/>
          <w:sz w:val="18"/>
          <w:szCs w:val="18"/>
        </w:rPr>
        <w:t xml:space="preserve">const result = await findZustaendigkeit("Neue Vorschriften fuer Strassenveranstaltungen", {</w:t>
      </w:r>
    </w:p>
    <w:p>
      <w:pPr>
        <w:shd w:fill="F2F2F2" w:val="clear"/>
        <w:spacing w:after="0" w:line="240"/>
      </w:pPr>
      <w:r>
        <w:rPr>
          <w:rFonts w:ascii="Consolas" w:cs="Consolas" w:eastAsia="Consolas" w:hAnsi="Consolas"/>
          <w:sz w:val="18"/>
          <w:szCs w:val="18"/>
        </w:rPr>
        <w:t xml:space="preserve">  country: "FR",</w:t>
      </w:r>
    </w:p>
    <w:p>
      <w:pPr>
        <w:shd w:fill="F2F2F2" w:val="clear"/>
        <w:spacing w:after="0" w:line="240"/>
      </w:pPr>
      <w:r>
        <w:rPr>
          <w:rFonts w:ascii="Consolas" w:cs="Consolas" w:eastAsia="Consolas" w:hAnsi="Consolas"/>
          <w:sz w:val="18"/>
          <w:szCs w:val="18"/>
        </w:rPr>
        <w:t xml:space="preserve">  territorium: "Paris"</w:t>
      </w:r>
    </w:p>
    <w:p>
      <w:pPr>
        <w:shd w:fill="F2F2F2" w:val="clear"/>
        <w:spacing w:after="0" w:line="240"/>
      </w:pPr>
      <w:r>
        <w:rPr>
          <w:rFonts w:ascii="Consolas" w:cs="Consolas" w:eastAsia="Consolas" w:hAnsi="Consolas"/>
          <w:sz w:val="18"/>
          <w:szCs w:val="18"/>
        </w:rPr>
        <w:t xml:space="preserve">});</w:t>
      </w:r>
    </w:p>
    <w:p>
      <w:pPr>
        <w:shd w:fill="F2F2F2" w:val="clear"/>
        <w:spacing w:after="0" w:line="240"/>
      </w:pPr>
      <w:r>
        <w:rPr>
          <w:rFonts w:ascii="Consolas" w:cs="Consolas" w:eastAsia="Consolas" w:hAnsi="Consolas"/>
          <w:sz w:val="18"/>
          <w:szCs w:val="18"/>
        </w:rPr>
        <w:t xml:space="preserve">// =&gt; authorities: [</w:t>
      </w:r>
    </w:p>
    <w:p>
      <w:pPr>
        <w:shd w:fill="F2F2F2" w:val="clear"/>
        <w:spacing w:after="0" w:line="240"/>
      </w:pPr>
      <w:r>
        <w:rPr>
          <w:rFonts w:ascii="Consolas" w:cs="Consolas" w:eastAsia="Consolas" w:hAnsi="Consolas"/>
          <w:sz w:val="18"/>
          <w:szCs w:val="18"/>
        </w:rPr>
        <w:t xml:space="preserve">//   { name: "Maire de Paris", level: "Ville de Paris",</w:t>
      </w:r>
    </w:p>
    <w:p>
      <w:pPr>
        <w:shd w:fill="F2F2F2" w:val="clear"/>
        <w:spacing w:after="0" w:line="240"/>
      </w:pPr>
      <w:r>
        <w:rPr>
          <w:rFonts w:ascii="Consolas" w:cs="Consolas" w:eastAsia="Consolas" w:hAnsi="Consolas"/>
          <w:sz w:val="18"/>
          <w:szCs w:val="18"/>
        </w:rPr>
        <w:t xml:space="preserve">//     sub_adapter_id: "fr.paris", category: "mitwirkend",</w:t>
      </w:r>
    </w:p>
    <w:p>
      <w:pPr>
        <w:shd w:fill="F2F2F2" w:val="clear"/>
        <w:spacing w:after="0" w:line="240"/>
      </w:pPr>
      <w:r>
        <w:rPr>
          <w:rFonts w:ascii="Consolas" w:cs="Consolas" w:eastAsia="Consolas" w:hAnsi="Consolas"/>
          <w:sz w:val="18"/>
          <w:szCs w:val="18"/>
        </w:rPr>
        <w:t xml:space="preserve">//     role: "pouvoir reglementaire local limitiert", basis: ["Art. L2512-1 CGCT"] },</w:t>
      </w:r>
    </w:p>
    <w:p>
      <w:pPr>
        <w:shd w:fill="F2F2F2" w:val="clear"/>
        <w:spacing w:after="0" w:line="240"/>
      </w:pPr>
      <w:r>
        <w:rPr>
          <w:rFonts w:ascii="Consolas" w:cs="Consolas" w:eastAsia="Consolas" w:hAnsi="Consolas"/>
          <w:sz w:val="18"/>
          <w:szCs w:val="18"/>
        </w:rPr>
        <w:t xml:space="preserve">//   { name: "Prefet de police de Paris", level: "État deconcentre",</w:t>
      </w:r>
    </w:p>
    <w:p>
      <w:pPr>
        <w:shd w:fill="F2F2F2" w:val="clear"/>
        <w:spacing w:after="0" w:line="240"/>
      </w:pPr>
      <w:r>
        <w:rPr>
          <w:rFonts w:ascii="Consolas" w:cs="Consolas" w:eastAsia="Consolas" w:hAnsi="Consolas"/>
          <w:sz w:val="18"/>
          <w:szCs w:val="18"/>
        </w:rPr>
        <w:t xml:space="preserve">//     category: "zustaendig",</w:t>
      </w:r>
    </w:p>
    <w:p>
      <w:pPr>
        <w:shd w:fill="F2F2F2" w:val="clear"/>
        <w:spacing w:after="0" w:line="240"/>
      </w:pPr>
      <w:r>
        <w:rPr>
          <w:rFonts w:ascii="Consolas" w:cs="Consolas" w:eastAsia="Consolas" w:hAnsi="Consolas"/>
          <w:sz w:val="18"/>
          <w:szCs w:val="18"/>
        </w:rPr>
        <w:t xml:space="preserve">//     role: "Polizei-Sonderkompetenz nach Art. L2512-13 CGCT", basis: ["Art. L2512-13 CGCT"] }</w:t>
      </w:r>
    </w:p>
    <w:p>
      <w:pPr>
        <w:shd w:fill="F2F2F2" w:val="clear"/>
        <w:spacing w:after="0" w:line="240"/>
      </w:pPr>
      <w:r>
        <w:rPr>
          <w:rFonts w:ascii="Consolas" w:cs="Consolas" w:eastAsia="Consolas" w:hAnsi="Consolas"/>
          <w:sz w:val="18"/>
          <w:szCs w:val="18"/>
        </w:rPr>
        <w:t xml:space="preserve">// ],</w:t>
      </w:r>
    </w:p>
    <w:p>
      <w:pPr>
        <w:shd w:fill="F2F2F2" w:val="clear"/>
        <w:spacing w:after="0" w:line="240"/>
      </w:pPr>
      <w:r>
        <w:rPr>
          <w:rFonts w:ascii="Consolas" w:cs="Consolas" w:eastAsia="Consolas" w:hAnsi="Consolas"/>
          <w:sz w:val="18"/>
          <w:szCs w:val="18"/>
        </w:rPr>
        <w:t xml:space="preserve">// override_applied: "Stufe 4 — Sub-Adapter Paris mit Polizei-Sonderzweig"</w:t>
      </w:r>
    </w:p>
    <w:p>
      <w:pPr>
        <w:spacing w:after="60"/>
      </w:pPr>
      <w:r>
        <w:t xml:space="preserve"/>
      </w:r>
    </w:p>
    <w:p>
      <w:pPr>
        <w:spacing w:after="120" w:line="300"/>
      </w:pPr>
      <w:r>
        <w:rPr>
          <w:i/>
          <w:iCs/>
          <w:color w:val="5A6068"/>
        </w:rPr>
        <w:t xml:space="preserve">Basis: v0.4 (Core Model + Country Adapter Interface + Override-Register). Erweiterung v0.5: 7-Stufen-Register (neue Stufe 3 transversale Durchbruchskompetenz), asymmetrische Sub-Adapter, EPCI-Klassen-Discriminator, FR-Adapter mit Paris/Lyon/Corse + Art.73/74-Familie, IT-Adapter mit 5+2 Statuto-Speciale-Sub-Adaptern, erweiterter Rechtsprechungsanker (Arcelor, French Data Network, Granital, Taricco-Saga, Sentenza 269/2017). Alle Quellen offen zugänglich (Legifrance, data.gouv.fr, Normattiva, AgID, Corte Costituzionale, Conseil d'État, Curia).</w:t>
      </w:r>
    </w:p>
    <w:p>
      <w:pPr>
        <w:spacing w:after="120" w:line="300"/>
      </w:pPr>
      <w:r>
        <w:rPr>
          <w:i/>
          <w:iCs/>
          <w:color w:val="5A6068"/>
        </w:rPr>
        <w:t xml:space="preserve">AGPL-3.0 | DeineStimme.org | Zuständigkeits-Engine v0.5</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C8D0" w:sz="4" w:space="4"/>
      </w:pBdr>
      <w:tabs>
        <w:tab w:val="right" w:pos="9026"/>
      </w:tabs>
    </w:pPr>
    <w:r>
      <w:rPr>
        <w:color w:val="5A6068"/>
        <w:sz w:val="18"/>
        <w:szCs w:val="18"/>
      </w:rPr>
      <w:t xml:space="preserve">AGPL-3.0</w:t>
    </w:r>
    <w:r>
      <w:rPr>
        <w:sz w:val="18"/>
        <w:szCs w:val="18"/>
      </w:rPr>
      <w:t xml:space="preserve">	</w:t>
    </w:r>
    <w:r>
      <w:rPr>
        <w:color w:val="5A6068"/>
        <w:sz w:val="18"/>
        <w:szCs w:val="18"/>
      </w:rPr>
      <w:t xml:space="preserve">Seite </w:t>
    </w:r>
    <w:r>
      <w:rPr>
        <w:color w:val="5A6068"/>
        <w:sz w:val="18"/>
        <w:szCs w:val="18"/>
      </w:rPr>
      <w:fldChar w:fldCharType="begin"/>
      <w:instrText xml:space="preserve">PAGE</w:instrText>
      <w:fldChar w:fldCharType="separate"/>
      <w:fldChar w:fldCharType="end"/>
    </w:r>
    <w:r>
      <w:rPr>
        <w:color w:val="5A6068"/>
        <w:sz w:val="18"/>
        <w:szCs w:val="18"/>
      </w:rPr>
      <w:t xml:space="preserve"> von </w:t>
    </w:r>
    <w:r>
      <w:rPr>
        <w:color w:val="5A606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0C8D0" w:sz="4" w:space="4"/>
      </w:pBdr>
      <w:spacing w:after="0"/>
    </w:pPr>
    <w:r>
      <w:rPr>
        <w:i/>
        <w:iCs/>
        <w:color w:val="5A6068"/>
        <w:sz w:val="18"/>
        <w:szCs w:val="18"/>
      </w:rPr>
      <w:t xml:space="preserve">DeineStimme.org  |  Zuständigkeits-Engine v0.5 — FR/IT-Erweiterung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Calibri" w:cs="Calibri" w:eastAsia="Calibri" w:hAnsi="Calibri"/>
      <w:b/>
      <w:bCs/>
      <w:color w:val="0B0B0F"/>
      <w:sz w:val="28"/>
      <w:szCs w:val="28"/>
    </w:rPr>
  </w:style>
  <w:style w:type="paragraph" w:styleId="Heading2">
    <w:name w:val="Heading 2"/>
    <w:basedOn w:val="Normal"/>
    <w:next w:val="Normal"/>
    <w:qFormat/>
    <w:pPr>
      <w:spacing w:after="120" w:before="240"/>
      <w:outlineLvl w:val="1"/>
    </w:pPr>
    <w:rPr>
      <w:rFonts w:ascii="Calibri" w:cs="Calibri" w:eastAsia="Calibri" w:hAnsi="Calibri"/>
      <w:b/>
      <w:bCs/>
      <w:color w:val="0B0B0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Zuständigkeits-Engine v0.5 — FR/IT-Erweiterung</dc:title>
  <dc:creator>DeineStimme.org</dc:creator>
  <cp:lastModifiedBy>Un-named</cp:lastModifiedBy>
  <cp:revision>1</cp:revision>
  <dcterms:created xsi:type="dcterms:W3CDTF">2026-04-19T14:27:28.809Z</dcterms:created>
  <dcterms:modified xsi:type="dcterms:W3CDTF">2026-04-19T14:27:28.810Z</dcterms:modified>
</cp:coreProperties>
</file>

<file path=docProps/custom.xml><?xml version="1.0" encoding="utf-8"?>
<Properties xmlns="http://schemas.openxmlformats.org/officeDocument/2006/custom-properties" xmlns:vt="http://schemas.openxmlformats.org/officeDocument/2006/docPropsVTypes"/>
</file>