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i/>
          <w:iCs/>
          <w:color w:val="5A6068"/>
          <w:sz w:val="18"/>
          <w:szCs w:val="18"/>
        </w:rPr>
        <w:t xml:space="preserve">DeineStimme.org | Zuständigkeits-Engine v0.4 — NL/EU-Erweiterung</w:t>
      </w:r>
    </w:p>
    <w:p>
      <w:pPr>
        <w:spacing w:after="60"/>
      </w:pPr>
      <w:r>
        <w:rPr>
          <w:b/>
          <w:bCs/>
          <w:sz w:val="40"/>
          <w:szCs w:val="40"/>
        </w:rPr>
        <w:t xml:space="preserve">Zuständigkeits-Engine</w:t>
      </w:r>
    </w:p>
    <w:p>
      <w:pPr>
        <w:spacing w:after="60"/>
      </w:pPr>
      <w:r>
        <w:rPr>
          <w:sz w:val="24"/>
          <w:szCs w:val="24"/>
        </w:rPr>
        <w:t xml:space="preserve">Technische Spezifikation v0.4 — Länder-Adapter Niederlande + EU-Sektor-Overrides</w:t>
      </w:r>
    </w:p>
    <w:p>
      <w:pPr>
        <w:spacing w:after="60"/>
      </w:pPr>
      <w:r>
        <w:rPr>
          <w:sz w:val="22"/>
          <w:szCs w:val="22"/>
        </w:rPr>
        <w:t xml:space="preserve">Erweiterung des Open-Source npm-Moduls für politische Zuständigkeitszuordnung</w:t>
      </w:r>
    </w:p>
    <w:p>
      <w:pPr>
        <w:spacing w:after="60"/>
      </w:pPr>
      <w:r>
        <w:rPr>
          <w:sz w:val="22"/>
          <w:szCs w:val="22"/>
        </w:rPr>
        <w:t xml:space="preserve">Architektur: Core Model + Country Adapter + sektorale Override-Register</w:t>
      </w:r>
    </w:p>
    <w:p>
      <w:pPr>
        <w:spacing w:after="180"/>
      </w:pPr>
      <w:r>
        <w:rPr>
          <w:sz w:val="20"/>
          <w:szCs w:val="20"/>
        </w:rPr>
        <w:t xml:space="preserve">DeineStimme.org | Strauss &amp; Reinemann GbR | Stand: 19. April 2026</w:t>
      </w:r>
    </w:p>
    <w:p>
      <w:pPr>
        <w:spacing w:after="360"/>
      </w:pPr>
      <w:r>
        <w:rPr>
          <w:i/>
          <w:iCs/>
          <w:color w:val="5A6068"/>
          <w:sz w:val="18"/>
          <w:szCs w:val="18"/>
        </w:rPr>
        <w:t xml:space="preserve">AGPL-3.0 | Quellen: Grondwet, Awb, AEUV/EUV, EuGH- und Raad-van-State-Rechtsprechung | Basis: Spec v0.3</w:t>
      </w:r>
    </w:p>
    <w:p>
      <w:pPr>
        <w:pStyle w:val="Heading1"/>
        <w:spacing w:after="180" w:before="360"/>
      </w:pPr>
      <w:r>
        <w:rPr>
          <w:b/>
          <w:bCs/>
        </w:rPr>
        <w:t xml:space="preserve">1. Kurzfazit</w:t>
      </w:r>
    </w:p>
    <w:p>
      <w:pPr>
        <w:spacing w:after="120" w:line="300"/>
      </w:pPr>
      <w:r>
        <w:t xml:space="preserve">Die v0.3-Spec deckt Deutschland über LeiKa/FIM/XZuFi + GG Art. 70–74 belastbar ab. Für die Niederlande und die EU greift dieses Modell nicht 1:1. Die beiden Ordnungen folgen einer anderen Grammatik: NL organisiert Zuständigkeit primär über das gesetzlich zugewiesene bestuursorgaan und Titel 10.1 Awb; die EU operiert unter dem Prinzip der begrenzten Einzelermächtigung (Art. 5 EUV), mit sektoralen Spezialregimen, die die allgemeine Kompetenzmatrix regelmäßig verdrängen.</w:t>
      </w:r>
    </w:p>
    <w:p>
      <w:pPr>
        <w:spacing w:after="120" w:line="300"/>
      </w:pPr>
      <w:r>
        <w:t xml:space="preserve">Konsequenz für das Modul: Die Engine wird nicht länderweise mit Copy-Patterns dupliziert, sondern als Core Model mit austauschbaren Country Adaptern und einem expliziten Override-Register neu strukturiert. Confidence bleibt ein Zusatzsignal — harte Vorrang- und Ausschlussregeln dürfen nie durch Scores überstimmt werden. Das Output-Schema wird von „Ebene + Score“ auf vier Kategorien erweitert: zuständig, mitwirkend zuständig, formell unzuständig aber weiterleitungspflichtig, rechtlich ungeklärt mit Eskalationsbedarf.</w:t>
      </w:r>
    </w:p>
    <w:p>
      <w:pPr>
        <w:pStyle w:val="Heading1"/>
        <w:spacing w:after="180" w:before="360"/>
      </w:pPr>
      <w:r>
        <w:rPr>
          <w:b/>
          <w:bCs/>
        </w:rPr>
        <w:t xml:space="preserve">2. Architektur: Core Model + Country Adapter + Override-Register</w:t>
      </w:r>
    </w:p>
    <w:p>
      <w:pPr>
        <w:pStyle w:val="Heading2"/>
        <w:spacing w:after="120" w:before="240"/>
      </w:pPr>
      <w:r>
        <w:rPr>
          <w:b/>
          <w:bCs/>
        </w:rPr>
        <w:t xml:space="preserve">2.1 Vier-Dimensionen-Zerlegung</w:t>
      </w:r>
    </w:p>
    <w:p>
      <w:pPr>
        <w:spacing w:after="120" w:line="300"/>
      </w:pPr>
      <w:r>
        <w:t xml:space="preserve">Jede Zuständigkeitsentscheidung wird in vier orthogonale Dimensionen zerlegt. Erst die Kombination ergibt die zuständige Stelle; Fehlzuordnungen kommen fast immer aus der Verwechslung dieser Achsen.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226"/>
      </w:tblGrid>
      <w:tr>
        <w:trPr>
          <w:tblHeader/>
        </w:trP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Dimension</w:t>
            </w:r>
          </w:p>
        </w:tc>
        <w:tc>
          <w:tcPr>
            <w:tcW w:type="dxa" w:w="7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Territorial</w:t>
            </w:r>
          </w:p>
        </w:tc>
        <w:tc>
          <w:tcPr>
            <w:tcW w:type="dxa" w:w="7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Welches Gebiet? NL: Rijk / Provincie / Gemeente / Waterschap. EU: Unionsdimension oder Mitgliedstaatsgebiet im Unionsvollzug.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Sachlich</w:t>
            </w:r>
          </w:p>
        </w:tc>
        <w:tc>
          <w:tcPr>
            <w:tcW w:type="dxa" w:w="7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Welches Politik- oder Regelungsfeld? NL: Grondwet + Spezialgesetz. EU: Verträge + Basisrechtsakt.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Personell</w:t>
            </w:r>
          </w:p>
        </w:tc>
        <w:tc>
          <w:tcPr>
            <w:tcW w:type="dxa" w:w="7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Welcher Adressatenkreis? NL: qualifiziert der Träger als bestuursorgaan. EU: Unternehmen, Aufsichtsbehörde, Controller/Processor.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Funktional</w:t>
            </w:r>
          </w:p>
        </w:tc>
        <w:tc>
          <w:tcPr>
            <w:tcW w:type="dxa" w:w="7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Regelsetzung vs. Vollzug vs. Aufsicht vs. Koordination vs. Sanktion vs. Rechtsschutz. Diese Achse verhindert die meisten Fehlklassifikationen.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</w:rPr>
        <w:t xml:space="preserve">2.2 Schicht-Erweiterung gegenüber v0.3</w:t>
      </w:r>
    </w:p>
    <w:p>
      <w:pPr>
        <w:spacing w:after="120" w:line="300"/>
      </w:pPr>
      <w:r>
        <w:t xml:space="preserve">Das Drei-Schichten-Modell bleibt erhalten, wird aber um eine vierte Schicht für Prozesspflichten ergänzt: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Schicht A — Normalisierung: Freitext → EuroVoc-Deskriptor (unverändert).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Schicht B — Deterministische Kompetenz-Engine: pro Land ein Adapter. DE-Adapter = GG Art. 70–74 + LeiKa 1–5. NL-Adapter = Grondwet Kap. 7 + Awb Titel 10.1 + Gemeente-/Provincie-/Waterschapswet + Kaderwet zbo. EU-Adapter = Art. 5 EUV, Art. 288/291/298 AEUV.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Schicht C — Retrieval + Ranking: CELLAR SPARQL + wetten.overheid.nl + gesetze-im-internet.de + nationale Authority Registries.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b/>
          <w:bCs/>
        </w:rPr>
        <w:t xml:space="preserve">Schicht D (neu) — Prozeduralpfad: </w:t>
      </w:r>
      <w:r>
        <w:t xml:space="preserve">Fristen, Weiterleitungspflichten (NL Art. 2:3 / 6:15 Awb), sektorale Kooperationsmechanismen (DSGVO Art. 60, ECN 2-Monats-Reallocation, IMI), Rechtsschutz- und Vorlagepfade (Art. 267 AEUV).</w:t>
      </w:r>
    </w:p>
    <w:p>
      <w:pPr>
        <w:pStyle w:val="Heading2"/>
        <w:spacing w:after="120" w:before="240"/>
      </w:pPr>
      <w:r>
        <w:rPr>
          <w:b/>
          <w:bCs/>
        </w:rPr>
        <w:t xml:space="preserve">2.3 Country Adapter Interface</w:t>
      </w:r>
    </w:p>
    <w:p>
      <w:pPr>
        <w:spacing w:after="120" w:line="300"/>
      </w:pPr>
      <w:r>
        <w:t xml:space="preserve">Jeder Länder-Adapter implementiert dasselbe Interface: resolveTerritorial(topic), resolveSachlich(topic), resolvePersonell(actor), resolveFunktional(action), getOverrides(topic, context), getProceduralPath(decision). Das Core Model ruft die Methoden ebenenunabhängig auf und erhält strukturierte Rückgaben. Neue Länder lassen sich so ohne Änderung am Kern anbinden.</w:t>
      </w:r>
    </w:p>
    <w:p>
      <w:pPr>
        <w:pStyle w:val="Heading1"/>
        <w:spacing w:after="180" w:before="360"/>
      </w:pPr>
      <w:r>
        <w:rPr>
          <w:b/>
          <w:bCs/>
        </w:rPr>
        <w:t xml:space="preserve">3. Schlüssel-Entdeckungen NL + EU</w:t>
      </w:r>
    </w:p>
    <w:p>
      <w:pPr>
        <w:spacing w:after="120" w:line="300"/>
      </w:pPr>
      <w:r>
        <w:rPr>
          <w:i/>
          <w:iCs/>
          <w:color w:val="5A6068"/>
        </w:rPr>
        <w:t xml:space="preserve">Analog zur LeiKa-Entdeckung in v0.3: pro Rechtsraum die Strukturen identifizieren, die die Engine nicht selbst modellieren muss, weil es sie bereits gibt.</w:t>
      </w:r>
    </w:p>
    <w:p>
      <w:pPr>
        <w:pStyle w:val="Heading2"/>
        <w:spacing w:after="120" w:before="240"/>
      </w:pPr>
      <w:r>
        <w:rPr>
          <w:b/>
          <w:bCs/>
        </w:rPr>
        <w:t xml:space="preserve">3.1 NL — bestuursorgaan + Titel 10.1 Awb</w:t>
      </w:r>
    </w:p>
    <w:p>
      <w:pPr>
        <w:spacing w:after="120" w:line="300"/>
      </w:pPr>
      <w:r>
        <w:t xml:space="preserve">Das niederländische System zentralisiert die Zuständigkeitsfrage in einem einzigen dogmatischen Konzept: dem bestuursorgaan nach Art. 1:1 Awb. Titel 10.1 Awb bündelt Mandat, Delegation und Attribution. Das ist die wichtigste Datenquelle des NL-Adapters — vergleichbar mit LeiKa in DE.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b/>
          <w:bCs/>
        </w:rPr>
        <w:t xml:space="preserve">Harte Regel 1: </w:t>
      </w:r>
      <w:r>
        <w:t xml:space="preserve">Ohne bestuursorgaan-Qualifikation keine Verwaltungszuständigkeit. Privatrechtliche Form reicht nicht (RvS 07.02.2024, ECLI:NL:RVS:2024:470).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b/>
          <w:bCs/>
        </w:rPr>
        <w:t xml:space="preserve">Harte Regel 2: </w:t>
      </w:r>
      <w:r>
        <w:t xml:space="preserve">Delegation braucht tragfähige gesetzliche Grundlage. Fehlt sie, bleibt die originäre Zuständigkeit beim ermächtigten Organ (RvS 17.12.2025, ECLI:NL:RVS:2025:6150).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b/>
          <w:bCs/>
        </w:rPr>
        <w:t xml:space="preserve">Harte Regel 3: </w:t>
      </w:r>
      <w:r>
        <w:t xml:space="preserve">Fehladressierung darf den Bürger nicht belasten. Art. 2:3 Awb (Verwaltung) und Art. 6:15 Awb (Rechtsbehelf) erzwingen Weiterleitung unter Wahrung des ursprünglichen Eingangs.</w:t>
      </w:r>
    </w:p>
    <w:p>
      <w:pPr>
        <w:pStyle w:val="Heading2"/>
        <w:spacing w:after="120" w:before="240"/>
      </w:pPr>
      <w:r>
        <w:rPr>
          <w:b/>
          <w:bCs/>
        </w:rPr>
        <w:t xml:space="preserve">3.2 NL — Vier-Ebenen-Territorialität inkl. Waterschappen</w:t>
      </w:r>
    </w:p>
    <w:p>
      <w:pPr>
        <w:spacing w:after="120" w:line="300"/>
      </w:pPr>
      <w:r>
        <w:t xml:space="preserve">Anders als Deutschlands Drei-Ebenen-Schema (Bund/Land/Kommune + EU) kennt NL eine eigenständige vierte Territorialebene: die Waterschappen (Art. 133 Grondwet). Sie sind keine Kommunalabteilung, sondern öffentlich-rechtliche Körperschaften mit eigener Regelungs- und Haushaltskompetenz für Wasserwirtschaft.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400"/>
        <w:gridCol w:w="5226"/>
      </w:tblGrid>
      <w:tr>
        <w:trPr>
          <w:tblHeader/>
        </w:trPr>
        <w:tc>
          <w:tcPr>
            <w:tcW w:type="dxa" w:w="1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Ebene</w:t>
            </w:r>
          </w:p>
        </w:tc>
        <w:tc>
          <w:tcPr>
            <w:tcW w:type="dxa" w:w="2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Rechtsgrundlage</w:t>
            </w:r>
          </w:p>
        </w:tc>
        <w:tc>
          <w:tcPr>
            <w:tcW w:type="dxa" w:w="5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Zuständigkeitskern</w:t>
            </w:r>
          </w:p>
        </w:tc>
      </w:tr>
      <w:tr>
        <w:tc>
          <w:tcPr>
            <w:tcW w:type="dxa" w:w="1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Rijk</w:t>
            </w:r>
          </w:p>
        </w:tc>
        <w:tc>
          <w:tcPr>
            <w:tcW w:type="dxa" w:w="2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Grondwet + Organisationsgesetze</w:t>
            </w:r>
          </w:p>
        </w:tc>
        <w:tc>
          <w:tcPr>
            <w:tcW w:type="dxa" w:w="5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Nationale Gesetzgebung; Ministerien + agentschappen + zbo's</w:t>
            </w:r>
          </w:p>
        </w:tc>
      </w:tr>
      <w:tr>
        <w:tc>
          <w:tcPr>
            <w:tcW w:type="dxa" w:w="1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Provincie</w:t>
            </w:r>
          </w:p>
        </w:tc>
        <w:tc>
          <w:tcPr>
            <w:tcW w:type="dxa" w:w="2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Provinciewet + Grondwet Art. 124/125</w:t>
            </w:r>
          </w:p>
        </w:tc>
        <w:tc>
          <w:tcPr>
            <w:tcW w:type="dxa" w:w="5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Regionale Planung, Aufsicht über Gemeinden, eigene Angelegenheiten + medebewind</w:t>
            </w:r>
          </w:p>
        </w:tc>
      </w:tr>
      <w:tr>
        <w:tc>
          <w:tcPr>
            <w:tcW w:type="dxa" w:w="1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Gemeente</w:t>
            </w:r>
          </w:p>
        </w:tc>
        <w:tc>
          <w:tcPr>
            <w:tcW w:type="dxa" w:w="2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Gemeentewet + Grondwet Art. 124/125</w:t>
            </w:r>
          </w:p>
        </w:tc>
        <w:tc>
          <w:tcPr>
            <w:tcW w:type="dxa" w:w="5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Kommunale Allzuständigkeit in eigener Sphäre, medebewind in Rijks-/Provinzaufgaben</w:t>
            </w:r>
          </w:p>
        </w:tc>
      </w:tr>
      <w:tr>
        <w:tc>
          <w:tcPr>
            <w:tcW w:type="dxa" w:w="1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Waterschap</w:t>
            </w:r>
          </w:p>
        </w:tc>
        <w:tc>
          <w:tcPr>
            <w:tcW w:type="dxa" w:w="24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Waterschapswet + Grondwet Art. 133</w:t>
            </w:r>
          </w:p>
        </w:tc>
        <w:tc>
          <w:tcPr>
            <w:tcW w:type="dxa" w:w="52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Wassersicherheit, -qualität, -quantität; eigene Abgabenkompetenz</w:t>
            </w:r>
          </w:p>
        </w:tc>
      </w:tr>
    </w:tbl>
    <w:p>
      <w:pPr>
        <w:spacing w:after="120" w:line="300"/>
      </w:pPr>
      <w:r>
        <w:t xml:space="preserve">Für das Modul: Der NL-Adapter muss die Waterschap-Ebene nativ führen, nicht als Sonderfall der Gemeinde. Vier-Ebenen-Territorialität mit eigener Datenquelle (waterschappen.nl, Unie van Waterschappen).</w:t>
      </w:r>
    </w:p>
    <w:p>
      <w:pPr>
        <w:pStyle w:val="Heading2"/>
        <w:spacing w:after="120" w:before="240"/>
      </w:pPr>
      <w:r>
        <w:rPr>
          <w:b/>
          <w:bCs/>
        </w:rPr>
        <w:t xml:space="preserve">3.3 NL — Weiterleitung als harter Verfahrensbaustein</w:t>
      </w:r>
    </w:p>
    <w:p>
      <w:pPr>
        <w:spacing w:after="120" w:line="300"/>
      </w:pPr>
      <w:r>
        <w:t xml:space="preserve">Schicht D (Prozeduralpfad) ist in NL nicht optional. Wenn die Engine eine Unzuständigkeit feststellt, muss sie gleichzeitig die Weiterleitungspflicht erzeugen — inklusive Norm-Anker (Art. 2:3 oder 6:15 Awb) und Fristberechnung (Art. 6:7 Awb: Sechswochenfrist grundsätzlich; Art. 4:13 Awb: angemessene Entscheidungsfrist).</w:t>
      </w:r>
    </w:p>
    <w:p>
      <w:pPr>
        <w:pStyle w:val="Heading2"/>
        <w:spacing w:after="120" w:before="240"/>
      </w:pPr>
      <w:r>
        <w:rPr>
          <w:b/>
          <w:bCs/>
        </w:rPr>
        <w:t xml:space="preserve">3.4 EU — begrenzte Einzelermächtigung als negative Obergrenze</w:t>
      </w:r>
    </w:p>
    <w:p>
      <w:pPr>
        <w:spacing w:after="120" w:line="300"/>
      </w:pPr>
      <w:r>
        <w:t xml:space="preserve">Art. 5 EUV setzt den harten Filter: Ohne Primär- oder Sekundärrechtsgrundlage gibt es keine Unionszuständigkeit. Alle nicht übertragenen Kompetenzen verbleiben bei den Mitgliedstaaten. Das ist die Umkehrung der deutschen Residualregel (Art. 30/70 GG verweisen Zweifelsfälle an die Länder): In der EU geht der Zweifel an den Mitgliedstaat.</w:t>
      </w:r>
    </w:p>
    <w:p>
      <w:pPr>
        <w:spacing w:after="120" w:line="300"/>
      </w:pPr>
      <w:r>
        <w:t xml:space="preserve">Für die Engine: Der EU-Adapter prüft zuerst, ob überhaupt eine Unionsrechtsgrundlage besteht. Fehlt sie, wird nicht nach Unterebenen weitergesucht — der Fall fällt aus dem EU-Regime heraus und geht in den nationalen Adapter.</w:t>
      </w:r>
    </w:p>
    <w:p>
      <w:pPr>
        <w:pStyle w:val="Heading2"/>
        <w:spacing w:after="120" w:before="240"/>
      </w:pPr>
      <w:r>
        <w:rPr>
          <w:b/>
          <w:bCs/>
        </w:rPr>
        <w:t xml:space="preserve">3.5 EU — Sektorale Spezialregime schlagen Grundmatrix</w:t>
      </w:r>
    </w:p>
    <w:p>
      <w:pPr>
        <w:spacing w:after="120" w:line="300"/>
      </w:pPr>
      <w:r>
        <w:t xml:space="preserve">Art. 288/291/298 AEUV liefern die Grundmatrix. In der Praxis wird sie aber regelmäßig durch sektorspezifische Kooperations- oder Exklusivregime überlagert. Drei Musterfälle, die als eigene Module modelliert werden müssen: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500"/>
        <w:gridCol w:w="4626"/>
      </w:tblGrid>
      <w:tr>
        <w:trPr>
          <w:tblHeader/>
        </w:trPr>
        <w:tc>
          <w:tcPr>
            <w:tcW w:type="dxa" w:w="1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Sektor</w:t>
            </w:r>
          </w:p>
        </w:tc>
        <w:tc>
          <w:tcPr>
            <w:tcW w:type="dxa" w:w="2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Mechanismus</w:t>
            </w:r>
          </w:p>
        </w:tc>
        <w:tc>
          <w:tcPr>
            <w:tcW w:type="dxa" w:w="46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Engine-Konsequenz</w:t>
            </w:r>
          </w:p>
        </w:tc>
      </w:tr>
      <w:tr>
        <w:tc>
          <w:tcPr>
            <w:tcW w:type="dxa" w:w="1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Datenschutz</w:t>
            </w:r>
          </w:p>
        </w:tc>
        <w:tc>
          <w:tcPr>
            <w:tcW w:type="dxa" w:w="2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DSGVO Art. 56 Lead Supervisory Authority; Art. 60 Kooperation; Art. 65 EDPB-Bindung</w:t>
            </w:r>
          </w:p>
        </w:tc>
        <w:tc>
          <w:tcPr>
            <w:tcW w:type="dxa" w:w="46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One-stop-shop-Modul: bei grenzüberschreitender Verarbeitung Lead-Authority ermitteln, betroffene Behörden als mitwirkend zuständig markieren</w:t>
            </w:r>
          </w:p>
        </w:tc>
      </w:tr>
      <w:tr>
        <w:tc>
          <w:tcPr>
            <w:tcW w:type="dxa" w:w="1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Wettbewerb</w:t>
            </w:r>
          </w:p>
        </w:tc>
        <w:tc>
          <w:tcPr>
            <w:tcW w:type="dxa" w:w="2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VO 1/2003 + European Competition Network; Fallzuweisung in ~2 Monaten; Art. 11 Abs. 6: Kommissionsverfahren verdrängt nationale Behörden</w:t>
            </w:r>
          </w:p>
        </w:tc>
        <w:tc>
          <w:tcPr>
            <w:tcW w:type="dxa" w:w="46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ECN-Modul: Fallzuweisungslogik + Verdrängungsregel für Art. 101/102 AEUV</w:t>
            </w:r>
          </w:p>
        </w:tc>
      </w:tr>
      <w:tr>
        <w:tc>
          <w:tcPr>
            <w:tcW w:type="dxa" w:w="1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Binnenmarktkooperation</w:t>
            </w:r>
          </w:p>
        </w:tc>
        <w:tc>
          <w:tcPr>
            <w:tcW w:type="dxa" w:w="2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IMI-Verordnung (1024/2012)</w:t>
            </w:r>
          </w:p>
        </w:tc>
        <w:tc>
          <w:tcPr>
            <w:tcW w:type="dxa" w:w="46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IMI-Modul: zuständige Behörde nach Basisrechtsakt; Kooperationspfad markieren</w:t>
            </w:r>
          </w:p>
        </w:tc>
      </w:tr>
    </w:tbl>
    <w:p>
      <w:pPr>
        <w:spacing w:after="120" w:line="300"/>
      </w:pPr>
      <w:r>
        <w:t xml:space="preserve">Agenturen (ESMA, ELA, EDPB usw.) handeln nur innerhalb ihres Basisrechtsakts — niemals als generelle Residualebene. Leitentscheidungen: Meroni (9/56, 10/56), Romano (98/80), ESMA (C-270/12).</w:t>
      </w:r>
    </w:p>
    <w:p>
      <w:pPr>
        <w:pStyle w:val="Heading1"/>
        <w:spacing w:after="180" w:before="360"/>
      </w:pPr>
      <w:r>
        <w:rPr>
          <w:b/>
          <w:bCs/>
        </w:rPr>
        <w:t xml:space="preserve">4. Zuständigkeitsmodell und Output-Kategorien</w:t>
      </w:r>
    </w:p>
    <w:p>
      <w:pPr>
        <w:pStyle w:val="Heading2"/>
        <w:spacing w:after="120" w:before="240"/>
      </w:pPr>
      <w:r>
        <w:rPr>
          <w:b/>
          <w:bCs/>
        </w:rPr>
        <w:t xml:space="preserve">4.1 Vier-Kategorien-Output statt Ebenen-Score</w:t>
      </w:r>
    </w:p>
    <w:p>
      <w:pPr>
        <w:spacing w:after="120" w:line="300"/>
      </w:pPr>
      <w:r>
        <w:t xml:space="preserve">v0.3 gibt primary_level + secondary_levels + confidence zurück. Das reicht für DE, aber nicht für NL+EU. Der neue Output kategorisiert jede identifizierte Stelle in eine von vier Klassen: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b/>
          <w:bCs/>
        </w:rPr>
        <w:t xml:space="preserve">zuständig — </w:t>
      </w:r>
      <w:r>
        <w:t xml:space="preserve">die Stelle hat die primäre Regelungs- oder Vollzugskompetenz.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b/>
          <w:bCs/>
        </w:rPr>
        <w:t xml:space="preserve">mitwirkend zuständig — </w:t>
      </w:r>
      <w:r>
        <w:t xml:space="preserve">die Stelle hat Kooperations-, Konsultations- oder Mitentscheidungsrechte (z. B. betroffene DSGVO-Aufsichtsbehörden, mitregelnde Bundesländer).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b/>
          <w:bCs/>
        </w:rPr>
        <w:t xml:space="preserve">formell unzuständig, aber weiterleitungspflichtig — </w:t>
      </w:r>
      <w:r>
        <w:t xml:space="preserve">die Stelle ist nicht zuständig, muss den Vorgang aber nach Art. 2:3 / 6:15 Awb, § 3 Abs. 2 VwVfG oder analogem Kooperationsrecht weiterreichen.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b/>
          <w:bCs/>
        </w:rPr>
        <w:t xml:space="preserve">rechtlich ungeklärt mit Eskalationsbedarf — </w:t>
      </w:r>
      <w:r>
        <w:t xml:space="preserve">Entscheidung hängt von Auslegung oder Gültigkeit eines Unionsakts ab; Vorlagepfad Art. 267 AEUV markieren.</w:t>
      </w:r>
    </w:p>
    <w:p>
      <w:pPr>
        <w:pStyle w:val="Heading2"/>
        <w:spacing w:after="120" w:before="240"/>
      </w:pPr>
      <w:r>
        <w:rPr>
          <w:b/>
          <w:bCs/>
        </w:rPr>
        <w:t xml:space="preserve">4.2 Override-Prioritätsordnung (6 Stufen)</w:t>
      </w:r>
    </w:p>
    <w:p>
      <w:pPr>
        <w:spacing w:after="120" w:line="300"/>
      </w:pPr>
      <w:r>
        <w:t xml:space="preserve">Overrides werden strikt hierarchisch abgearbeitet. Niedrigere Stufen werden nur erreicht, wenn höhere nicht greifen.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800"/>
        <w:gridCol w:w="5526"/>
      </w:tblGrid>
      <w:tr>
        <w:trPr>
          <w:tblHeader/>
        </w:trPr>
        <w:tc>
          <w:tcPr>
            <w:tcW w:type="dxa" w:w="7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Stufe</w:t>
            </w:r>
          </w:p>
        </w:tc>
        <w:tc>
          <w:tcPr>
            <w:tcW w:type="dxa" w:w="2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Typ</w:t>
            </w:r>
          </w:p>
        </w:tc>
        <w:tc>
          <w:tcPr>
            <w:tcW w:type="dxa" w:w="55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Beispiel</w:t>
            </w:r>
          </w:p>
        </w:tc>
      </w:tr>
      <w:tr>
        <w:tc>
          <w:tcPr>
            <w:tcW w:type="dxa" w:w="7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2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Unionsrechtliche Exklusiv-/Vorrangregel</w:t>
            </w:r>
          </w:p>
        </w:tc>
        <w:tc>
          <w:tcPr>
            <w:tcW w:type="dxa" w:w="55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Zollunion, Währungspolitik Eurozone, ausschließliche Kompetenzen Art. 3 AEUV</w:t>
            </w:r>
          </w:p>
        </w:tc>
      </w:tr>
      <w:tr>
        <w:tc>
          <w:tcPr>
            <w:tcW w:type="dxa" w:w="7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2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Sektorspezifischer Unionsmechanismus</w:t>
            </w:r>
          </w:p>
        </w:tc>
        <w:tc>
          <w:tcPr>
            <w:tcW w:type="dxa" w:w="55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DSGVO one-stop-shop, ECN-Fallzuweisung, IMI-Kooperation</w:t>
            </w:r>
          </w:p>
        </w:tc>
      </w:tr>
      <w:tr>
        <w:tc>
          <w:tcPr>
            <w:tcW w:type="dxa" w:w="7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2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Nationale Spezialzuständigkeit</w:t>
            </w:r>
          </w:p>
        </w:tc>
        <w:tc>
          <w:tcPr>
            <w:tcW w:type="dxa" w:w="55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Kaderwet zbo (NL), LeiKa-Typ 1 (DE Bundesvollzug)</w:t>
            </w:r>
          </w:p>
        </w:tc>
      </w:tr>
      <w:tr>
        <w:tc>
          <w:tcPr>
            <w:tcW w:type="dxa" w:w="7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2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Zulässige Delegation / Mandat</w:t>
            </w:r>
          </w:p>
        </w:tc>
        <w:tc>
          <w:tcPr>
            <w:tcW w:type="dxa" w:w="55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Titel 10.1 Awb; § 14 VwVfG DE</w:t>
            </w:r>
          </w:p>
        </w:tc>
      </w:tr>
      <w:tr>
        <w:tc>
          <w:tcPr>
            <w:tcW w:type="dxa" w:w="7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tcPr>
            <w:tcW w:type="dxa" w:w="2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Weiterleitungs-/Kooperationspflicht</w:t>
            </w:r>
          </w:p>
        </w:tc>
        <w:tc>
          <w:tcPr>
            <w:tcW w:type="dxa" w:w="55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Art. 2:3 Awb, Art. 6:15 Awb, § 3 Abs. 2 VwVfG</w:t>
            </w:r>
          </w:p>
        </w:tc>
      </w:tr>
      <w:tr>
        <w:tc>
          <w:tcPr>
            <w:tcW w:type="dxa" w:w="7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2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Gerichtlicher Eskalationspfad</w:t>
            </w:r>
          </w:p>
        </w:tc>
        <w:tc>
          <w:tcPr>
            <w:tcW w:type="dxa" w:w="55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Art. 267 AEUV (CILFIT, Foto-Frost); Raad-van-State-Zuweisung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</w:rPr>
        <w:t xml:space="preserve">4.3 Confidence-Score — Rolle und Grenze</w:t>
      </w:r>
    </w:p>
    <w:p>
      <w:pPr>
        <w:spacing w:after="120" w:line="300"/>
      </w:pPr>
      <w:r>
        <w:t xml:space="preserve">Der Score aus v0.3 bleibt (Rechtsgrundlagen-Treffer 60 % + Subsidiaritätstest 20 % + Präzedenz 15 % + Residualregel 5 %). Neue Regel: Confidence ist ein Zusatzsignal und darf harte Vorrang- oder Ausschlussregeln (Stufen 1–2 oben) niemals überstimmen. Bei Konflikt gewinnt immer der Override.</w:t>
      </w:r>
    </w:p>
    <w:p>
      <w:pPr>
        <w:pStyle w:val="Heading1"/>
        <w:spacing w:after="180" w:before="360"/>
      </w:pPr>
      <w:r>
        <w:rPr>
          <w:b/>
          <w:bCs/>
        </w:rPr>
        <w:t xml:space="preserve">5. Validierte Datenquellen</w:t>
      </w:r>
    </w:p>
    <w:p>
      <w:pPr>
        <w:spacing w:after="120" w:line="300"/>
      </w:pPr>
      <w:r>
        <w:t xml:space="preserve">Ergänzung der v0.3-Matrix um NL- und EU-horizontale Quellen: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100"/>
        <w:gridCol w:w="900"/>
        <w:gridCol w:w="1100"/>
        <w:gridCol w:w="1100"/>
        <w:gridCol w:w="3026"/>
      </w:tblGrid>
      <w:tr>
        <w:trPr>
          <w:tblHeader/>
        </w:trP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Quelle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Ebene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Format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Zugang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Status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Rolle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wetten.overheid.nl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Alle NL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XML/HTML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NL-Kern: Grondwet, Awb, Spezialgesetze konsolidiert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kcbr.nl (Aanwijzingen)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Alle NL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HTML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Soft-Law: Regelgeving-Leitlinien für Delegation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rijksoverheid.nl/zbo's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Rijk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HTML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zbo-Registry + Kaderwet-Governance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raadvanstate.nl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Cross NL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HTML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Rechtsprechungsanker (ECLI) für bestuursorgaan-Qualifikation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waterschappen.nl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Waterschap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HTML/CSV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21 Waterschappen mit Territorialgrenzen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VNG Gemeenten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Gemeente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API/CSV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342 Gemeinden + interkommunale WGR-Strukturen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EUR-Lex CELLAR (EUV/AEUV)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SPARQL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Primärrechts-Anker (Art. 5 EUV, 288/291/298 AEUV)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CURIA Case-Law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ECLI/HTML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Rechtsprechungsanker: Meroni, Romano, ESMA, Tobacco, Facebook Ireland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edpb.europa.eu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 Sektor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HTML/PDF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DSGVO-Konsistenzmechanismus, Art. 65-Entscheidungen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ec.europa.eu/competition (ECN)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 Sektor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HTML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ECN-Fallzuweisungspraxis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IMI-Register (VO 1024/2012)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 Sektor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API (beschränkt)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Teilweise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Validiert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Zuständige Behörden pro Mitgliedstaat + Sachbereich</w:t>
            </w:r>
          </w:p>
        </w:tc>
      </w:tr>
      <w:tr>
        <w:tc>
          <w:tcPr>
            <w:tcW w:type="dxa" w:w="18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european-union.europa.eu/agencies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9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HTML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Offen</w:t>
            </w:r>
          </w:p>
        </w:tc>
        <w:tc>
          <w:tcPr>
            <w:tcW w:type="dxa" w:w="11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Produktiv</w:t>
            </w:r>
          </w:p>
        </w:tc>
        <w:tc>
          <w:tcPr>
            <w:tcW w:type="dxa" w:w="30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Authority Registry: Agenturen + Basisrechtsakte</w:t>
            </w:r>
          </w:p>
        </w:tc>
      </w:tr>
    </w:tbl>
    <w:p>
      <w:pPr>
        <w:pStyle w:val="Heading1"/>
        <w:spacing w:after="180" w:before="360"/>
      </w:pPr>
      <w:r>
        <w:rPr>
          <w:b/>
          <w:bCs/>
        </w:rPr>
        <w:t xml:space="preserve">6. Erweitertes Output-Format</w:t>
      </w:r>
    </w:p>
    <w:p>
      <w:pPr>
        <w:spacing w:after="120" w:line="300"/>
      </w:pPr>
      <w:r>
        <w:t xml:space="preserve">Schema-Upgrade: statt einer flachen primary_level-Angabe wird eine authorities-Liste mit expliziter Kategorie, Rechtsgrundlage und Prozeduralpfad zurückgegeben.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{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"input": "Cross-Border-Werbung mit personalisierten Daten",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"country_context": "NL",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"authorities": [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{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"name": "Autoriteit Persoonsgegevens (AP)",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"level": "Rijk",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"category": "mitwirkend",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"role": "concerned supervisory authority",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"basis": ["DSGVO Art. 4 Nr. 22", "UAVG"]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},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{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"name": "Lead Supervisory Authority (IE/DPC)",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"level": "EU-Mitgliedstaat",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"category": "zustaendig",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"role": "lead supervisory authority",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"basis": ["DSGVO Art. 56"]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},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{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"name": "EDPB",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"level": "EU",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"category": "eskalationsfaehig",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"role": "binding decision",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  "basis": ["DSGVO Art. 65"]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}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],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"override_applied": "sektoral-unionsrechtlich (Stufe 2)",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"procedural_path": {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"deadlines": ["DSGVO Art. 60 Abs. 4: 4 Wochen begruendeter Einwand"],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"cooperation": "one-stop-shop via DSGVO Art. 60",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"referral_obligation": null,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"court_path": "Art. 267 AEUV bei Auslegungszweifel (vgl. C-645/19)"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},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"confidence": 0.86,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"evidence": [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{"source": "CURIA C-645/19", "label": "Facebook Ireland - one-stop-shop Reichweite"},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  {"source": "EDPB Guidelines 08/2022", "label": "Lead Authority Identification"}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],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"explanation": "Grenzueberschreitende Verarbeitung loest DSGVO-Kompetenzverteilung aus; LSA primaer, AP als CSA mitwirkend, EDPB bei Art. 65-Eskalation."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}</w:t>
      </w:r>
    </w:p>
    <w:p>
      <w:pPr>
        <w:spacing w:after="120" w:line="300"/>
      </w:pPr>
      <w:r>
        <w:rPr>
          <w:i/>
          <w:iCs/>
          <w:color w:val="5A6068"/>
        </w:rPr>
        <w:t xml:space="preserve">Designentscheidung: Jede Authority bekommt eine eigene category + role + basis. Kategorien sind die vier aus Abschnitt 4.1; roles sind sektorspezifisch (LSA, CSA, EDPB, Kommission, originäres Organ, delegiertes Organ usw.).</w:t>
      </w:r>
    </w:p>
    <w:p>
      <w:pPr>
        <w:pStyle w:val="Heading1"/>
        <w:spacing w:after="180" w:before="360"/>
      </w:pPr>
      <w:r>
        <w:rPr>
          <w:b/>
          <w:bCs/>
        </w:rPr>
        <w:t xml:space="preserve">7. Rechtsprechungsanker</w:t>
      </w:r>
    </w:p>
    <w:p>
      <w:pPr>
        <w:spacing w:after="120" w:line="300"/>
      </w:pPr>
      <w:r>
        <w:t xml:space="preserve">Jede Override-Regel wird mit konkreten Leitentscheidungen verankert. Die Engine referenziert ECLI-Nummern, damit Nutzer die Quelle nachvollziehen können.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500"/>
        <w:gridCol w:w="4926"/>
      </w:tblGrid>
      <w:tr>
        <w:trPr>
          <w:tblHeader/>
        </w:trP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Entscheidung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Ebene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shd w:fill="E8E8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/>
                <w:bCs/>
                <w:sz w:val="20"/>
                <w:szCs w:val="20"/>
              </w:rPr>
              <w:t xml:space="preserve">Engine-Relevanz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RvS 07.02.2024 (ECLI:NL:RVS:2024:470)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NL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bestuursorgaan-Qualifikation — privatrechtliche Träger genügen nicht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RvS 17.12.2025 (ECLI:NL:RVS:2025:6150)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NL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Delegation ohne gesetzliche Grundlage unverbindlich (Art. 10:15 Awb)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Meroni (9/56, 10/56)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Delegationsschranke — kein weites Ermessen an autonome Stellen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Romano (98/80)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Schranke gegen Maßnahmen mit Gesetzeskraft außerhalb des Vertragsrahmens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ESMA (C-270/12, 22.01.2014)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Eng umgrenzte Agenturdelegation zulässig bei präziser Kontrolle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Tobacco Advertising (C-376/98)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Binnenmarktkompetenz Art. 114 AEUV ist kein Blankoscheck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Facebook Ireland (C-645/19)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One-stop-shop als Regel, CSA-Aktivität unter Kooperationsbedingungen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CILFIT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Vorlagepflicht letztinstanzlicher Gerichte; acte-clair-Ausnahmen</w:t>
            </w:r>
          </w:p>
        </w:tc>
      </w:tr>
      <w:tr>
        <w:tc>
          <w:tcPr>
            <w:tcW w:type="dxa" w:w="26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Foto-Frost</w:t>
            </w:r>
          </w:p>
        </w:tc>
        <w:tc>
          <w:tcPr>
            <w:tcW w:type="dxa" w:w="1500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EU</w:t>
            </w:r>
          </w:p>
        </w:tc>
        <w:tc>
          <w:tcPr>
            <w:tcW w:type="dxa" w:w="4926"/>
            <w:tcBorders>
              <w:top w:val="single" w:color="B8B8B8" w:sz="1"/>
              <w:left w:val="single" w:color="B8B8B8" w:sz="1"/>
              <w:bottom w:val="single" w:color="B8B8B8" w:sz="1"/>
              <w:right w:val="single" w:color="B8B8B8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40"/>
            </w:pPr>
            <w:r>
              <w:rPr>
                <w:b w:val="false"/>
                <w:bCs w:val="false"/>
                <w:sz w:val="18"/>
                <w:szCs w:val="18"/>
              </w:rPr>
              <w:t xml:space="preserve">Nationale Gerichte dürfen Unionsakte nicht selbst für ungültig erklären</w:t>
            </w:r>
          </w:p>
        </w:tc>
      </w:tr>
    </w:tbl>
    <w:p>
      <w:pPr>
        <w:pStyle w:val="Heading1"/>
        <w:spacing w:after="180" w:before="360"/>
      </w:pPr>
      <w:r>
        <w:rPr>
          <w:b/>
          <w:bCs/>
        </w:rPr>
        <w:t xml:space="preserve">8. Entwicklungs-Roadmap (Fortschreibung)</w:t>
      </w:r>
    </w:p>
    <w:p>
      <w:pPr>
        <w:pStyle w:val="Heading2"/>
        <w:spacing w:after="120" w:before="240"/>
      </w:pPr>
      <w:r>
        <w:rPr>
          <w:b/>
          <w:bCs/>
        </w:rPr>
        <w:t xml:space="preserve">Phase 3a: NL-Adapter (6–10 Wochen ab DE-MVP-Abschluss)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wetten.overheid.nl-Ingestion: Grondwet, Awb, Gemeentewet, Provinciewet, Waterschapswet, Kaderwet zbo, WGR.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Authority Registry Stufe 1 (Klassen): Ministerium, agentschap, zbo, Gemeente, Provincie, Waterschap.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Authority Registry Stufe 2 (Instanzen): konkrete Organe inkl. Rechtsgrundlage + Territorium.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Prozeduralpfad-Modul: Art. 2:3, 6:15, 6:7, 4:13 Awb.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Rechtsprechungs-Hook: RvS-ECLI-Lookup für bestuursorgaan-Grenzfälle.</w:t>
      </w:r>
    </w:p>
    <w:p>
      <w:pPr>
        <w:pStyle w:val="Heading2"/>
        <w:spacing w:after="120" w:before="240"/>
      </w:pPr>
      <w:r>
        <w:rPr>
          <w:b/>
          <w:bCs/>
        </w:rPr>
        <w:t xml:space="preserve">Phase 3b: EU-Adapter horizontal (4–8 Wochen parallel)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EUV/AEUV-Parser: Art. 5 EUV, Art. 288/291/298 AEUV, Art. 41 Charta, Art. 267 AEUV.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Agency Registry: EU-Agenturen mit Basisrechtsakt-Verweis (european-union.europa.eu).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CURIA-ECLI-Hook für Meroni/Romano/ESMA/Tobacco/Facebook-Ireland/CILFIT/Foto-Frost.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Override-Register mit 6-Stufen-Logik.</w:t>
      </w:r>
    </w:p>
    <w:p>
      <w:pPr>
        <w:pStyle w:val="Heading2"/>
        <w:spacing w:after="120" w:before="240"/>
      </w:pPr>
      <w:r>
        <w:rPr>
          <w:b/>
          <w:bCs/>
        </w:rPr>
        <w:t xml:space="preserve">Phase 3c: Sektorale Module (12–16 Wochen iterativ)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DSGVO-one-stop-shop-Modul: LSA/CSA-Ermittlung, Art. 60/65 Fristen, EDPB-Eskalation.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ECN-Modul: Verordnung 1/2003, Fallzuweisung, Art. 11 Abs. 6 Verdrängungsregel.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IMI-Modul: Basisrechtsakt → zuständige nationale Behörde.</w:t>
      </w:r>
    </w:p>
    <w:p>
      <w:pPr>
        <w:pStyle w:val="Heading2"/>
        <w:spacing w:after="120" w:before="240"/>
      </w:pPr>
      <w:r>
        <w:rPr>
          <w:b/>
          <w:bCs/>
        </w:rPr>
        <w:t xml:space="preserve">Phase 4: Weitere Länder-Adapter (ab Q2 2027)</w:t>
      </w:r>
    </w:p>
    <w:p>
      <w:pPr>
        <w:spacing w:after="120" w:line="300"/>
      </w:pPr>
      <w:r>
        <w:t xml:space="preserve">Priorisierung nach Datenqualität und EU-Impact: FR → BE → AT → PL. Jeder Adapter folgt demselben Interface. Der Core bleibt unverändert — Adapter sind ausschließlich Daten- und Regelwerk-Module.</w:t>
      </w:r>
    </w:p>
    <w:p>
      <w:pPr>
        <w:pStyle w:val="Heading1"/>
        <w:spacing w:after="180" w:before="360"/>
      </w:pPr>
      <w:r>
        <w:rPr>
          <w:b/>
          <w:bCs/>
        </w:rPr>
        <w:t xml:space="preserve">9. Nutzung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npm install @deinestimme/zustaendigkeit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const { findZustaendigkeit } = require("@deinestimme/zustaendigkeit");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// NL-Kontext: privatrechtliche Stiftung vollzieht oeffentliche Aufgabe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const nl = await findZustaendigkeit("Vergunning afgegeven door stichting", {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country: "NL",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action: "Verwaltungsakt"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});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// =&gt; category: "rechtlich_ungeklaert", override_applied: "Stufe 4 (Delegation)",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//    reasoning: "Pruefung analog ECLI:NL:RVS:2025:6150 - Delegation ohne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//    gesetzliche Grundlage unverbindlich; Rueckfall auf originaeres Organ"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// EU-Kontext: grenzueberschreitende Datenverarbeitung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const eu = await findZustaendigkeit("Cross-Border Werbung personalisiert", {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country_context: "NL",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  sector: "data_protection"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});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// =&gt; authorities: [LSA (IE/DPC), AP (NL mitwirkend), EDPB (eskalationsfaehig)],</w:t>
      </w:r>
    </w:p>
    <w:p>
      <w:pPr>
        <w:shd w:fill="F2F2F2" w:val="clear"/>
        <w:spacing w:after="0" w:line="240"/>
      </w:pPr>
      <w:r>
        <w:rPr>
          <w:rFonts w:ascii="Consolas" w:cs="Consolas" w:eastAsia="Consolas" w:hAnsi="Consolas"/>
          <w:sz w:val="18"/>
          <w:szCs w:val="18"/>
        </w:rPr>
        <w:t xml:space="preserve">//    override_applied: "Stufe 2 - DSGVO one-stop-shop"</w:t>
      </w:r>
    </w:p>
    <w:p>
      <w:pPr>
        <w:spacing w:after="60"/>
      </w:pPr>
      <w:r>
        <w:t xml:space="preserve"/>
      </w:r>
    </w:p>
    <w:p>
      <w:pPr>
        <w:spacing w:after="120" w:line="300"/>
      </w:pPr>
      <w:r>
        <w:rPr>
          <w:i/>
          <w:iCs/>
          <w:color w:val="5A6068"/>
        </w:rPr>
        <w:t xml:space="preserve">Architektur-Grundlage: Spec v0.3 (Drei-Schichten-Modell, LeiKa/FIM/XZuFi). Rechtliche Grundlage NL/EU: Grondwet + Awb + Gemeente-/Provincie-/Waterschapswet + Kaderwet zbo + WGR; EUV + AEUV + Grundrechtecharta + DSGVO + VO 1/2003 + IMI-VO. Rechtsprechung: Raad van State + EuGH via CURIA. Alle Quellen maschinenlesbar referenzierbar.</w:t>
      </w:r>
    </w:p>
    <w:p>
      <w:pPr>
        <w:spacing w:after="120" w:line="300"/>
      </w:pPr>
      <w:r>
        <w:rPr>
          <w:i/>
          <w:iCs/>
          <w:color w:val="5A6068"/>
        </w:rPr>
        <w:t xml:space="preserve">AGPL-3.0 | DeineStimme.org | Zuständigkeits-Engine v0.4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C8D0" w:sz="4" w:space="4"/>
      </w:pBdr>
      <w:tabs>
        <w:tab w:val="right" w:pos="9026"/>
      </w:tabs>
    </w:pPr>
    <w:r>
      <w:rPr>
        <w:color w:val="5A6068"/>
        <w:sz w:val="18"/>
        <w:szCs w:val="18"/>
      </w:rPr>
      <w:t xml:space="preserve">AGPL-3.0</w:t>
    </w:r>
    <w:r>
      <w:rPr>
        <w:sz w:val="18"/>
        <w:szCs w:val="18"/>
      </w:rPr>
      <w:t xml:space="preserve">	</w:t>
    </w:r>
    <w:r>
      <w:rPr>
        <w:color w:val="5A6068"/>
        <w:sz w:val="18"/>
        <w:szCs w:val="18"/>
      </w:rPr>
      <w:t xml:space="preserve">Seite </w:t>
    </w:r>
    <w:r>
      <w:rPr>
        <w:color w:val="5A606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5A6068"/>
        <w:sz w:val="18"/>
        <w:szCs w:val="18"/>
      </w:rPr>
      <w:t xml:space="preserve"> von </w:t>
    </w:r>
    <w:r>
      <w:rPr>
        <w:color w:val="5A606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0C8D0" w:sz="4" w:space="4"/>
      </w:pBdr>
      <w:spacing w:after="0"/>
    </w:pPr>
    <w:r>
      <w:rPr>
        <w:i/>
        <w:iCs/>
        <w:color w:val="5A6068"/>
        <w:sz w:val="18"/>
        <w:szCs w:val="18"/>
      </w:rPr>
      <w:t xml:space="preserve">DeineStimme.org  |  Zuständigkeits-Engine v0.4 — NL/EU-Erweiterung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Calibri" w:cs="Calibri" w:eastAsia="Calibri" w:hAnsi="Calibri"/>
      <w:b/>
      <w:bCs/>
      <w:color w:val="0B0B0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Calibri" w:cs="Calibri" w:eastAsia="Calibri" w:hAnsi="Calibri"/>
      <w:b/>
      <w:bCs/>
      <w:color w:val="0B0B0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Zuständigkeits-Engine v0.4 — NL/EU-Erweiterung</dc:title>
  <dc:creator>DeineStimme.org</dc:creator>
  <cp:lastModifiedBy>Un-named</cp:lastModifiedBy>
  <cp:revision>1</cp:revision>
  <dcterms:created xsi:type="dcterms:W3CDTF">2026-04-19T13:01:12.173Z</dcterms:created>
  <dcterms:modified xsi:type="dcterms:W3CDTF">2026-04-19T13:01:12.175Z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