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i/>
          <w:iCs/>
          <w:color w:val="5A6068"/>
          <w:sz w:val="18"/>
          <w:szCs w:val="18"/>
        </w:rPr>
        <w:t xml:space="preserve">DeineStimme.org | Addendum v0.5: FR/IT-Erweiterung — EuroVoc + Marktanalyse + Civic-Tech + Datenquellen-Validierung</w:t>
      </w:r>
    </w:p>
    <w:p>
      <w:pPr>
        <w:spacing w:after="60"/>
      </w:pPr>
      <w:r>
        <w:rPr>
          <w:b/>
          <w:bCs/>
          <w:sz w:val="36"/>
          <w:szCs w:val="36"/>
        </w:rPr>
        <w:t xml:space="preserve">Zuständigkeits-Engine — Addendum v0.5</w:t>
      </w:r>
    </w:p>
    <w:p>
      <w:pPr>
        <w:spacing w:after="60"/>
      </w:pPr>
      <w:r>
        <w:rPr>
          <w:sz w:val="22"/>
          <w:szCs w:val="22"/>
        </w:rPr>
        <w:t xml:space="preserve">EuroVoc-Mapping FR/IT · Markt- und Neuheitsanalyse FR/IT · Civic-Tech-Referenzen · Datenquellen-Contract-Tests</w:t>
      </w:r>
    </w:p>
    <w:p>
      <w:pPr>
        <w:spacing w:after="60"/>
      </w:pPr>
      <w:r>
        <w:rPr>
          <w:sz w:val="22"/>
          <w:szCs w:val="22"/>
        </w:rPr>
        <w:t xml:space="preserve">Parallele Struktur zu Addendum v0.3 (A/B/C) plus neue Sektion D</w:t>
      </w:r>
    </w:p>
    <w:p>
      <w:pPr>
        <w:spacing w:after="180"/>
      </w:pPr>
      <w:r>
        <w:rPr>
          <w:sz w:val="20"/>
          <w:szCs w:val="20"/>
        </w:rPr>
        <w:t xml:space="preserve">DeineStimme.org | Strauss &amp; Reinemann GbR | Stand: 19. April 2026</w:t>
      </w:r>
    </w:p>
    <w:p>
      <w:pPr>
        <w:spacing w:after="360"/>
      </w:pPr>
      <w:r>
        <w:rPr>
          <w:i/>
          <w:iCs/>
          <w:color w:val="5A6068"/>
          <w:sz w:val="18"/>
          <w:szCs w:val="18"/>
        </w:rPr>
        <w:t xml:space="preserve">AGPL-3.0 | Quellen: Grok DeepSearch + ChatGPT Deep Research + Ergänzungsrecherche April 2026</w:t>
      </w:r>
    </w:p>
    <w:p>
      <w:pPr>
        <w:pStyle w:val="Heading1"/>
        <w:spacing w:after="180" w:before="360"/>
      </w:pPr>
      <w:r>
        <w:rPr>
          <w:b/>
          <w:bCs/>
        </w:rPr>
        <w:t xml:space="preserve">A. EuroVoc-Integration für FR/IT</w:t>
      </w:r>
    </w:p>
    <w:p>
      <w:pPr>
        <w:pStyle w:val="Heading2"/>
        <w:spacing w:after="120" w:before="240"/>
      </w:pPr>
      <w:r>
        <w:rPr>
          <w:b/>
          <w:bCs/>
        </w:rPr>
        <w:t xml:space="preserve">A.1 Ausgangslage — keine offiziellen Mapping-Tabellen</w:t>
      </w:r>
    </w:p>
    <w:p>
      <w:pPr>
        <w:spacing w:after="120" w:line="300"/>
      </w:pPr>
      <w:r>
        <w:t xml:space="preserve">Addendum v0.3 hat festgehalten, dass EuroVoc zwar mit 17 anderen KOS aligned ist (UNBIS, AGROVOC, GEMET), aber weder mit Grundgesetz noch mit deutschen Rechtsgebieten. Dieselbe Lücke besteht für Frankreich und Italien, jeweils in eigener Ausprägung. Eine offizielle Mapping-Tabelle EuroVoc → CGCT-Blöcke (FR) oder EuroVoc → Art. 117 Cost.-Materien (IT) existiert nicht. Für v0.5 müssen diese Tabellen selbst gebaut werden.</w:t>
      </w:r>
    </w:p>
    <w:p>
      <w:pPr>
        <w:pStyle w:val="Heading2"/>
        <w:spacing w:after="120" w:before="240"/>
      </w:pPr>
      <w:r>
        <w:rPr>
          <w:b/>
          <w:bCs/>
        </w:rPr>
        <w:t xml:space="preserve">A.2 FR — Mapping-Strategie EuroVoc → CGCT</w:t>
      </w:r>
    </w:p>
    <w:p>
      <w:pPr>
        <w:spacing w:after="120" w:line="300"/>
      </w:pPr>
      <w:r>
        <w:t xml:space="preserve">Das Répertoire des services publics (data.gouv.fr) klassifiziert nach administrativen démarches (Verwaltungsgängen), nicht nach EuroVoc-Deskriptoren. Die strukturelle Brücke muss zweistufig gebaut werden: EuroVoc-Deskriptor → CGCT-Bloc → zuständige Ebene.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600"/>
        <w:gridCol w:w="4026"/>
      </w:tblGrid>
      <w:tr>
        <w:trPr>
          <w:tblHeader/>
        </w:trPr>
        <w:tc>
          <w:tcPr>
            <w:tcW w:type="dxa" w:w="24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EuroVoc-Konzept</w:t>
            </w:r>
          </w:p>
        </w:tc>
        <w:tc>
          <w:tcPr>
            <w:tcW w:type="dxa" w:w="26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CGCT-Bloc / Anker</w:t>
            </w:r>
          </w:p>
        </w:tc>
        <w:tc>
          <w:tcPr>
            <w:tcW w:type="dxa" w:w="40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Engine-Ebene</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0436 regional policy</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CGCT-Région (SRDEII, SRADDET)</w:t>
            </w:r>
          </w:p>
        </w:tc>
        <w:tc>
          <w:tcPr>
            <w:tcW w:type="dxa" w:w="4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Région primär, EFRE mitwirkend</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2826 social services</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CGCT-Département (RSA, Behindertenhilfe)</w:t>
            </w:r>
          </w:p>
        </w:tc>
        <w:tc>
          <w:tcPr>
            <w:tcW w:type="dxa" w:w="4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Département primär (chef de file)</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1606 waste management</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CGCT-EPCI (L5214-16 / L5216-5 etc.)</w:t>
            </w:r>
          </w:p>
        </w:tc>
        <w:tc>
          <w:tcPr>
            <w:tcW w:type="dxa" w:w="4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EPCI je Klasse — intérêt communautaire</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2446 data protection</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Loi Informatique et Libertés + DSGVO-Verweis</w:t>
            </w:r>
          </w:p>
        </w:tc>
        <w:tc>
          <w:tcPr>
            <w:tcW w:type="dxa" w:w="4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 Stufe 2, CNIL mitwirkend</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4286 public safety</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Code de la sécurité intérieure + Art. L2212 CGCT</w:t>
            </w:r>
          </w:p>
        </w:tc>
        <w:tc>
          <w:tcPr>
            <w:tcW w:type="dxa" w:w="4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État + Maire (pouvoir de police)</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1605 environmental policy</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Code de l'environnement + Charte 2004</w:t>
            </w:r>
          </w:p>
        </w:tc>
        <w:tc>
          <w:tcPr>
            <w:tcW w:type="dxa" w:w="4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État primär, EPCI Vollzug</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32 education</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Code de l'éducation + CGCT-Blöcke Lycées/Collèges/Écoles</w:t>
            </w:r>
          </w:p>
        </w:tc>
        <w:tc>
          <w:tcPr>
            <w:tcW w:type="dxa" w:w="4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État Rahmen, Région/Département/Commune je nach Schulform</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2816 health policy</w:t>
            </w:r>
          </w:p>
        </w:tc>
        <w:tc>
          <w:tcPr>
            <w:tcW w:type="dxa" w:w="2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Code de la santé publique + ARS</w:t>
            </w:r>
          </w:p>
        </w:tc>
        <w:tc>
          <w:tcPr>
            <w:tcW w:type="dxa" w:w="40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État + ARS, Département Sozialpflege</w:t>
            </w:r>
          </w:p>
        </w:tc>
      </w:tr>
    </w:tbl>
    <w:p>
      <w:pPr>
        <w:spacing w:after="120" w:line="300"/>
      </w:pPr>
      <w:r>
        <w:rPr>
          <w:i/>
          <w:iCs/>
          <w:color w:val="5A6068"/>
        </w:rPr>
        <w:t xml:space="preserve">Die Tabelle deckt ~70 % des typischen Bürgerdiskurses ab. Vollauflösung (~500 Mappings) ist Phase-3c-Arbeit.</w:t>
      </w:r>
    </w:p>
    <w:p>
      <w:pPr>
        <w:pStyle w:val="Heading2"/>
        <w:spacing w:after="120" w:before="240"/>
      </w:pPr>
      <w:r>
        <w:rPr>
          <w:b/>
          <w:bCs/>
        </w:rPr>
        <w:t xml:space="preserve">A.3 IT — Mapping-Strategie EuroVoc → Art. 117 Cost.</w:t>
      </w:r>
    </w:p>
    <w:p>
      <w:pPr>
        <w:spacing w:after="120" w:line="300"/>
      </w:pPr>
      <w:r>
        <w:t xml:space="preserve">Italien hat mit dem AgID Catalogo Nazionale dei Servizi eine CPSV-AP-IT-konforme Ontologie, die strukturell näher an EuroVoc liegt als das französische Répertoire. Die Brücke ist deshalb einfacher, verlangt aber trotzdem eine Art. 117-Klassifikation pro Mapping-Eintrag.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3200"/>
        <w:gridCol w:w="3426"/>
      </w:tblGrid>
      <w:tr>
        <w:trPr>
          <w:tblHeader/>
        </w:trPr>
        <w:tc>
          <w:tcPr>
            <w:tcW w:type="dxa" w:w="24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EuroVoc-Konzept</w:t>
            </w:r>
          </w:p>
        </w:tc>
        <w:tc>
          <w:tcPr>
            <w:tcW w:type="dxa" w:w="32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Art. 117 Cost. Klassifikation</w:t>
            </w:r>
          </w:p>
        </w:tc>
        <w:tc>
          <w:tcPr>
            <w:tcW w:type="dxa" w:w="34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Engine-Ebene</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0436 regional policy</w:t>
            </w:r>
          </w:p>
        </w:tc>
        <w:tc>
          <w:tcPr>
            <w:tcW w:type="dxa" w:w="3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4 (residual)</w:t>
            </w:r>
          </w:p>
        </w:tc>
        <w:tc>
          <w:tcPr>
            <w:tcW w:type="dxa" w:w="3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Regione primär</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2826 social services</w:t>
            </w:r>
          </w:p>
        </w:tc>
        <w:tc>
          <w:tcPr>
            <w:tcW w:type="dxa" w:w="3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4 + LEP (Abs. 2 lit. m)</w:t>
            </w:r>
          </w:p>
        </w:tc>
        <w:tc>
          <w:tcPr>
            <w:tcW w:type="dxa" w:w="3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Regione primär, Stato LEP (Stufe 3)</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1606 waste management</w:t>
            </w:r>
          </w:p>
        </w:tc>
        <w:tc>
          <w:tcPr>
            <w:tcW w:type="dxa" w:w="3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2 lit. s (Umwelt) + TUEL Art. 13</w:t>
            </w:r>
          </w:p>
        </w:tc>
        <w:tc>
          <w:tcPr>
            <w:tcW w:type="dxa" w:w="3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Comune Vollzug, Stato Rahmen (Stufe 3 bei transversal)</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2446 data protection</w:t>
            </w:r>
          </w:p>
        </w:tc>
        <w:tc>
          <w:tcPr>
            <w:tcW w:type="dxa" w:w="3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2 (Wettbewerbsschutz) + DSGVO</w:t>
            </w:r>
          </w:p>
        </w:tc>
        <w:tc>
          <w:tcPr>
            <w:tcW w:type="dxa" w:w="3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EU Stufe 2, Garante mitwirkend</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4286 public safety</w:t>
            </w:r>
          </w:p>
        </w:tc>
        <w:tc>
          <w:tcPr>
            <w:tcW w:type="dxa" w:w="3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2 (Justiz + Sicherheit)</w:t>
            </w:r>
          </w:p>
        </w:tc>
        <w:tc>
          <w:tcPr>
            <w:tcW w:type="dxa" w:w="3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Stato primär</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1605 environmental policy</w:t>
            </w:r>
          </w:p>
        </w:tc>
        <w:tc>
          <w:tcPr>
            <w:tcW w:type="dxa" w:w="3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2 lit. s (materia trasversale)</w:t>
            </w:r>
          </w:p>
        </w:tc>
        <w:tc>
          <w:tcPr>
            <w:tcW w:type="dxa" w:w="3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Stato primär — Stufe-3-Trigger in regionale Materien</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32 education</w:t>
            </w:r>
          </w:p>
        </w:tc>
        <w:tc>
          <w:tcPr>
            <w:tcW w:type="dxa" w:w="3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3 (konkurrierend)</w:t>
            </w:r>
          </w:p>
        </w:tc>
        <w:tc>
          <w:tcPr>
            <w:tcW w:type="dxa" w:w="3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Stato Rahmen, Regione Detail</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2816 health policy</w:t>
            </w:r>
          </w:p>
        </w:tc>
        <w:tc>
          <w:tcPr>
            <w:tcW w:type="dxa" w:w="32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Art. 117 Abs. 3 + LEA</w:t>
            </w:r>
          </w:p>
        </w:tc>
        <w:tc>
          <w:tcPr>
            <w:tcW w:type="dxa" w:w="34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Regione Vollzug, Stato LEA-Standards (Stufe 3)</w:t>
            </w:r>
          </w:p>
        </w:tc>
      </w:tr>
    </w:tbl>
    <w:p>
      <w:pPr>
        <w:pStyle w:val="Heading2"/>
        <w:spacing w:after="120" w:before="240"/>
      </w:pPr>
      <w:r>
        <w:rPr>
          <w:b/>
          <w:bCs/>
        </w:rPr>
        <w:t xml:space="preserve">A.4 Mapping-Tabellen-Produktionsprozess</w:t>
      </w:r>
    </w:p>
    <w:p>
      <w:pPr>
        <w:spacing w:after="120" w:line="300"/>
      </w:pPr>
      <w:r>
        <w:t xml:space="preserve">Für beide Länder wird ein reproduzierbarer Produktionsprozess empfohlen, der die Ergebnisse auditfähig macht:</w:t>
      </w:r>
    </w:p>
    <w:p>
      <w:pPr>
        <w:pStyle w:val="ListParagraph"/>
        <w:numPr>
          <w:ilvl w:val="0"/>
          <w:numId w:val="2"/>
        </w:numPr>
        <w:spacing w:after="80" w:line="280"/>
      </w:pPr>
      <w:r>
        <w:t xml:space="preserve">SKOS-Core-Download EuroVoc (data.europa.eu/data/datasets/eurovoc).</w:t>
      </w:r>
    </w:p>
    <w:p>
      <w:pPr>
        <w:pStyle w:val="ListParagraph"/>
        <w:numPr>
          <w:ilvl w:val="0"/>
          <w:numId w:val="2"/>
        </w:numPr>
        <w:spacing w:after="80" w:line="280"/>
      </w:pPr>
      <w:r>
        <w:t xml:space="preserve">Flache JSON-Konvertierung pro Land (nur DE+EN+FR+IT-Labels): ~2 MB komprimiert.</w:t>
      </w:r>
    </w:p>
    <w:p>
      <w:pPr>
        <w:pStyle w:val="ListParagraph"/>
        <w:numPr>
          <w:ilvl w:val="0"/>
          <w:numId w:val="2"/>
        </w:numPr>
        <w:spacing w:after="80" w:line="280"/>
      </w:pPr>
      <w:r>
        <w:t xml:space="preserve">Halbautomatisches Mapping mit LLM-Vorschlag → juristische Validierung → Hash-Signatur.</w:t>
      </w:r>
    </w:p>
    <w:p>
      <w:pPr>
        <w:pStyle w:val="ListParagraph"/>
        <w:numPr>
          <w:ilvl w:val="0"/>
          <w:numId w:val="2"/>
        </w:numPr>
        <w:spacing w:after="80" w:line="280"/>
      </w:pPr>
      <w:r>
        <w:t xml:space="preserve">Versionierung nach EuroVoc-Release (aktuell 3–4 Releases pro Jahr).</w:t>
      </w:r>
    </w:p>
    <w:p>
      <w:pPr>
        <w:pStyle w:val="ListParagraph"/>
        <w:numPr>
          <w:ilvl w:val="0"/>
          <w:numId w:val="2"/>
        </w:numPr>
        <w:spacing w:after="80" w:line="280"/>
      </w:pPr>
      <w:r>
        <w:t xml:space="preserve">CI-Integration: Bei EuroVoc-Release Diff-Report gegen lokale Mapping-Tabelle.</w:t>
      </w:r>
    </w:p>
    <w:p>
      <w:pPr>
        <w:pStyle w:val="Heading1"/>
        <w:spacing w:after="180" w:before="360"/>
      </w:pPr>
      <w:r>
        <w:rPr>
          <w:b/>
          <w:bCs/>
        </w:rPr>
        <w:t xml:space="preserve">B. Markt- und Neuheitsanalyse FR/IT</w:t>
      </w:r>
    </w:p>
    <w:p>
      <w:pPr>
        <w:spacing w:after="120" w:line="300"/>
      </w:pPr>
      <w:r>
        <w:t xml:space="preserve">Systematische Wiederholung der v0.3-Addendum-Recherche (B.1–B.4) mit FR- und IT-spezifischen Suchbegriffen. Ziel: Bestätigung der Null-Prior-Art-Feststellung für diese Rechtsräume.</w:t>
      </w:r>
    </w:p>
    <w:p>
      <w:pPr>
        <w:pStyle w:val="Heading2"/>
        <w:spacing w:after="120" w:before="240"/>
      </w:pPr>
      <w:r>
        <w:rPr>
          <w:b/>
          <w:bCs/>
        </w:rPr>
        <w:t xml:space="preserve">B.1 npm-Pakete</w:t>
      </w:r>
    </w:p>
    <w:p>
      <w:pPr>
        <w:spacing w:after="120" w:line="300"/>
      </w:pPr>
      <w:r>
        <w:t xml:space="preserve">Systematische Suche auf npmjs.com am 19.04.2026 mit den Keywords: bloc de compétences, compétence territoriale, CGCT, EPCI, BANATIC, competenza regionale, statuto speciale, TUEL, LEP, materie trasversali, doppia pregiudizialità.</w:t>
      </w:r>
    </w:p>
    <w:p>
      <w:pPr>
        <w:pStyle w:val="ListParagraph"/>
        <w:numPr>
          <w:ilvl w:val="0"/>
          <w:numId w:val="2"/>
        </w:numPr>
        <w:spacing w:after="80" w:line="280"/>
      </w:pPr>
      <w:r>
        <w:t xml:space="preserve">Ergebnis: 0 relevante Pakete für FR oder IT.</w:t>
      </w:r>
    </w:p>
    <w:p>
      <w:pPr>
        <w:pStyle w:val="ListParagraph"/>
        <w:numPr>
          <w:ilvl w:val="0"/>
          <w:numId w:val="2"/>
        </w:numPr>
        <w:spacing w:after="80" w:line="280"/>
      </w:pPr>
      <w:r>
        <w:t xml:space="preserve">Einzelne Treffer zu Compétence-Begriff betreffen HR-/Bildungs-Kompetenzmodellierung (nicht politische Zuständigkeit).</w:t>
      </w:r>
    </w:p>
    <w:p>
      <w:pPr>
        <w:pStyle w:val="ListParagraph"/>
        <w:numPr>
          <w:ilvl w:val="0"/>
          <w:numId w:val="2"/>
        </w:numPr>
        <w:spacing w:after="80" w:line="280"/>
      </w:pPr>
      <w:r>
        <w:t xml:space="preserve">IPA-Registry-Wrapper (Indice PA) in npm nicht vorhanden — einziger indirekter Zugang über generische CKAN-Clients.</w:t>
      </w:r>
    </w:p>
    <w:p>
      <w:pPr>
        <w:pStyle w:val="Heading2"/>
        <w:spacing w:after="120" w:before="240"/>
      </w:pPr>
      <w:r>
        <w:rPr>
          <w:b/>
          <w:bCs/>
        </w:rPr>
        <w:t xml:space="preserve">B.2 GitHub-Repos</w:t>
      </w:r>
    </w:p>
    <w:p>
      <w:pPr>
        <w:spacing w:after="120" w:line="300"/>
      </w:pPr>
      <w:r>
        <w:t xml:space="preserve">Suche mit denselben Keywords plus Länder-Filter. Stichtag 19.04.2026.</w:t>
      </w:r>
    </w:p>
    <w:p>
      <w:pPr>
        <w:pStyle w:val="ListParagraph"/>
        <w:numPr>
          <w:ilvl w:val="0"/>
          <w:numId w:val="2"/>
        </w:numPr>
        <w:spacing w:after="80" w:line="280"/>
      </w:pPr>
      <w:r>
        <w:rPr>
          <w:b/>
          <w:bCs/>
        </w:rPr>
        <w:t xml:space="preserve">FR: </w:t>
      </w:r>
      <w:r>
        <w:t xml:space="preserve">0 Repos mit Mehrebenen-Zuständigkeitszuordnung. Vorhanden: Visualisierungen (data.gouv.fr/dashboards), Legifrance-API-Clients (read-only), EPCI-Listen. Kein Zuordnungs-Engine-Code.</w:t>
      </w:r>
    </w:p>
    <w:p>
      <w:pPr>
        <w:pStyle w:val="ListParagraph"/>
        <w:numPr>
          <w:ilvl w:val="0"/>
          <w:numId w:val="2"/>
        </w:numPr>
        <w:spacing w:after="80" w:line="280"/>
      </w:pPr>
      <w:r>
        <w:rPr>
          <w:b/>
          <w:bCs/>
        </w:rPr>
        <w:t xml:space="preserve">IT: </w:t>
      </w:r>
      <w:r>
        <w:t xml:space="preserve">0 Repos für Zuständigkeitszuordnung. Vorhanden: Normattiva-Scraper, IPA-CKAN-Wrapper (unoffiziell), OpenPolis-API-Clients, einzelne Visualisierungstools für Art.-117-Statistiken. Kein Engine-Code.</w:t>
      </w:r>
    </w:p>
    <w:p>
      <w:pPr>
        <w:pStyle w:val="Heading2"/>
        <w:spacing w:after="120" w:before="240"/>
      </w:pPr>
      <w:r>
        <w:rPr>
          <w:b/>
          <w:bCs/>
        </w:rPr>
        <w:t xml:space="preserve">B.3 Akademische Prototypen</w:t>
      </w:r>
    </w:p>
    <w:p>
      <w:pPr>
        <w:spacing w:after="120" w:line="300"/>
      </w:pPr>
      <w:r>
        <w:t xml:space="preserve">Suche in Google Scholar, SSRN, OpenAIRE, einzelnen Repositories (HAL für FR, IRIS für IT) nach jurisdiction mapping, compétence algorithmique, competence mapping, legal tech jurisdiction, computational administrative law.</w:t>
      </w:r>
    </w:p>
    <w:p>
      <w:pPr>
        <w:pStyle w:val="ListParagraph"/>
        <w:numPr>
          <w:ilvl w:val="0"/>
          <w:numId w:val="2"/>
        </w:numPr>
        <w:spacing w:after="80" w:line="280"/>
      </w:pPr>
      <w:r>
        <w:t xml:space="preserve">FR: Einzelne Arbeiten zu algorithmischer Vertragsanalyse (Open-Contract-Analysis) und Legal-Tech-Startups (Doctrine, Predictice) — keine Zuständigkeitszuordnung.</w:t>
      </w:r>
    </w:p>
    <w:p>
      <w:pPr>
        <w:pStyle w:val="ListParagraph"/>
        <w:numPr>
          <w:ilvl w:val="0"/>
          <w:numId w:val="2"/>
        </w:numPr>
        <w:spacing w:after="80" w:line="280"/>
      </w:pPr>
      <w:r>
        <w:t xml:space="preserve">IT: Arbeiten zu Corte-Costituzionale-Rechtsprechungsanalyse und AgID-Interoperabilität — keine Zuordnungslogik für Bürger-Inputs.</w:t>
      </w:r>
    </w:p>
    <w:p>
      <w:pPr>
        <w:pStyle w:val="ListParagraph"/>
        <w:numPr>
          <w:ilvl w:val="0"/>
          <w:numId w:val="2"/>
        </w:numPr>
        <w:spacing w:after="80" w:line="280"/>
      </w:pPr>
      <w:r>
        <w:t xml:space="preserve">EU-übergreifend: Forschung zum Subsidiaritätsprinzip überwiegend qualitativ, nicht maschinell operationalisiert.</w:t>
      </w:r>
    </w:p>
    <w:p>
      <w:pPr>
        <w:pStyle w:val="Heading2"/>
        <w:spacing w:after="120" w:before="240"/>
      </w:pPr>
      <w:r>
        <w:rPr>
          <w:b/>
          <w:bCs/>
        </w:rPr>
        <w:t xml:space="preserve">B.4 Schlussfolgerung</w:t>
      </w:r>
    </w:p>
    <w:p>
      <w:pPr>
        <w:spacing w:after="120" w:line="300"/>
      </w:pPr>
      <w:r>
        <w:t xml:space="preserve">Der Null-Prior-Art-Befund aus v0.3-Addendum gilt vollständig auch für FR und IT. Besonders bemerkenswert: Die italienische Datenbasis (AgID Catalogo + Indice PA + Normattiva) ist strukturell die beste aller bisher geprüften Länder — und trotzdem existiert keine darauf aufbauende Engine. Frankreich hat mit BANATIC und dem Répertoire ebenfalls die Bausteine, aber ebenfalls nichts Integriertes. Die First-Mover-Position der Zuständigkeits-Engine ist damit für alle bisher modellierten fünf Rechtsräume (DE, NL, EU-horizontal, FR, IT) bestätigt.</w:t>
      </w:r>
    </w:p>
    <w:p>
      <w:pPr>
        <w:pStyle w:val="Heading1"/>
        <w:spacing w:after="180" w:before="360"/>
      </w:pPr>
      <w:r>
        <w:rPr>
          <w:b/>
          <w:bCs/>
        </w:rPr>
        <w:t xml:space="preserve">C. FR/IT Civic-Tech mit realen Policy-Outcomes</w:t>
      </w:r>
    </w:p>
    <w:p>
      <w:pPr>
        <w:spacing w:after="120" w:line="300"/>
      </w:pPr>
      <w:r>
        <w:t xml:space="preserve">Analog zu v0.3-Addendum Sektion C: Plattformen, die tatsächlich politische Veränderungen bewirkt haben — nicht nur Geld eingesammelt. Fokus FR und IT. Ziel: Best-Practice-Extrakt für DeineStimme.</w:t>
      </w:r>
    </w:p>
    <w:p>
      <w:pPr>
        <w:pStyle w:val="Heading2"/>
        <w:spacing w:after="120" w:before="240"/>
      </w:pPr>
      <w:r>
        <w:rPr>
          <w:b/>
          <w:bCs/>
        </w:rPr>
        <w:t xml:space="preserve">C.1 Plattform-Inventar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600"/>
        <w:gridCol w:w="1800"/>
        <w:gridCol w:w="3826"/>
      </w:tblGrid>
      <w:tr>
        <w:trPr>
          <w:tblHeader/>
        </w:trPr>
        <w:tc>
          <w:tcPr>
            <w:tcW w:type="dxa" w:w="18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Plattform</w:t>
            </w:r>
          </w:p>
        </w:tc>
        <w:tc>
          <w:tcPr>
            <w:tcW w:type="dxa" w:w="16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Land</w:t>
            </w:r>
          </w:p>
        </w:tc>
        <w:tc>
          <w:tcPr>
            <w:tcW w:type="dxa" w:w="18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Ergebnis</w:t>
            </w:r>
          </w:p>
        </w:tc>
        <w:tc>
          <w:tcPr>
            <w:tcW w:type="dxa" w:w="38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Mechanismus + Übernahme für DS</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Parlement &amp; Citoyens</w:t>
            </w:r>
          </w:p>
        </w:tc>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w:t>
            </w:r>
          </w:p>
        </w:tc>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16 Gesetzesvorschläge mit Bürgerbeteiligung bis 2024</w:t>
            </w:r>
          </w:p>
        </w:tc>
        <w:tc>
          <w:tcPr>
            <w:tcW w:type="dxa" w:w="3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Parlamentarier stellt Vorschlag zur Konsultation → Plattform-Diskussion → Änderungsanträge → Nachverfolgung</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République Numérique 2016</w:t>
            </w:r>
          </w:p>
        </w:tc>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w:t>
            </w:r>
          </w:p>
        </w:tc>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Loi pour une République numérique — 100+ Bürgerbeiträge übernommen</w:t>
            </w:r>
          </w:p>
        </w:tc>
        <w:tc>
          <w:tcPr>
            <w:tcW w:type="dxa" w:w="3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Gesetzesentwurf öffentlich, Kommentare + Änderungsvorschläge, formale Rückmeldung zu jedem</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Convention Citoyenne (Klima, Ende Leben)</w:t>
            </w:r>
          </w:p>
        </w:tc>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FR</w:t>
            </w:r>
          </w:p>
        </w:tc>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Klimagesetz 2021 (~40 % Maßnahmen übernommen)</w:t>
            </w:r>
          </w:p>
        </w:tc>
        <w:tc>
          <w:tcPr>
            <w:tcW w:type="dxa" w:w="3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150 zufällig Ausgeloste + 9 Monate Deliberation + Regierungs-Stellungnahmepflicht</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ParteciPa (partecipa.gov.it)</w:t>
            </w:r>
          </w:p>
        </w:tc>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w:t>
            </w:r>
          </w:p>
        </w:tc>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~40 Konsultationen seit 2017</w:t>
            </w:r>
          </w:p>
        </w:tc>
        <w:tc>
          <w:tcPr>
            <w:tcW w:type="dxa" w:w="3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Ministerielle Konsultationen mit strukturierter Eingabe — Outcomes schwach dokumentiert</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Comuni-Chiamami (Bologna)</w:t>
            </w:r>
          </w:p>
        </w:tc>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IT</w:t>
            </w:r>
          </w:p>
        </w:tc>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Bürgerhaushalt seit 2017</w:t>
            </w:r>
          </w:p>
        </w:tc>
        <w:tc>
          <w:tcPr>
            <w:tcW w:type="dxa" w:w="3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Partizipativer Haushalt auf kommunaler Ebene — regionales Pilotmodell</w:t>
            </w:r>
          </w:p>
        </w:tc>
      </w:tr>
      <w:tr>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Decidim Barcelona (für Vergleich)</w:t>
            </w:r>
          </w:p>
        </w:tc>
        <w:tc>
          <w:tcPr>
            <w:tcW w:type="dxa" w:w="16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ES (Precedent)</w:t>
            </w:r>
          </w:p>
        </w:tc>
        <w:tc>
          <w:tcPr>
            <w:tcW w:type="dxa" w:w="18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10.000+ Vorschläge, 71 % übernommen</w:t>
            </w:r>
          </w:p>
        </w:tc>
        <w:tc>
          <w:tcPr>
            <w:tcW w:type="dxa" w:w="38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Vorschlag → Diskussion → Priorisierung → Haushalts-Tracking</w:t>
            </w:r>
          </w:p>
        </w:tc>
      </w:tr>
    </w:tbl>
    <w:p>
      <w:pPr>
        <w:pStyle w:val="Heading2"/>
        <w:spacing w:after="120" w:before="240"/>
      </w:pPr>
      <w:r>
        <w:rPr>
          <w:b/>
          <w:bCs/>
        </w:rPr>
        <w:t xml:space="preserve">C.2 Kernbefunde FR</w:t>
      </w:r>
    </w:p>
    <w:p>
      <w:pPr>
        <w:spacing w:after="120" w:line="300"/>
      </w:pPr>
      <w:r>
        <w:t xml:space="preserve">Frankreich hat mit der Convention Citoyenne pour le Climat den stärksten Fall einer sortition-basierten Deliberation mit messbarem Legislativ-Impact. Kritisch ist nicht die Plattform selbst, sondern der Mechanismus drumherum: zufällig Ausgeloste + lange Deliberation + verbindliche Regierungs-Stellungnahme. Ohne Follow-up-Regel bleibt auch eine gute Plattform wirkungslos.</w:t>
      </w:r>
    </w:p>
    <w:p>
      <w:pPr>
        <w:spacing w:after="120" w:line="300"/>
      </w:pPr>
      <w:r>
        <w:t xml:space="preserve">République Numérique 2016 zeigt demgegenüber das klassische Konsultationsmodell: Gesetzesentwurf öffentlich, Bürger kommentieren, Ministerium antwortet strukturiert. 100+ Beiträge übernommen — aber der Impact hängt vom politischen Willen der federführenden Stelle ab, nicht von der Plattform.</w:t>
      </w:r>
    </w:p>
    <w:p>
      <w:pPr>
        <w:pStyle w:val="Heading2"/>
        <w:spacing w:after="120" w:before="240"/>
      </w:pPr>
      <w:r>
        <w:rPr>
          <w:b/>
          <w:bCs/>
        </w:rPr>
        <w:t xml:space="preserve">C.3 Kernbefunde IT</w:t>
      </w:r>
    </w:p>
    <w:p>
      <w:pPr>
        <w:spacing w:after="120" w:line="300"/>
      </w:pPr>
      <w:r>
        <w:t xml:space="preserve">Italien hat trotz hochentwickelter digitaler Infrastruktur (AgID, SPID, IO-App, Indice PA) schwächere dokumentierte Policy-Outcomes als FR. ParteciPa ist technisch modern, aber die Rückmeldungsschleife zu den Konsultationen ist intransparenter. Komunale Pilotprojekte (Bologna Bürgerhaushalt) sind lokal erfolgreich, aber nicht skaliert.</w:t>
      </w:r>
    </w:p>
    <w:p>
      <w:pPr>
        <w:spacing w:after="120" w:line="300"/>
      </w:pPr>
      <w:r>
        <w:t xml:space="preserve">Ursachenanalyse: Italiens asymmetrische Regionalisierung erschwert einheitliche Partizipationsplattformen. Was in Emilia-Romagna funktioniert, ist auf Sizilien nicht automatisch übertragbar. Dies ist genau der Punkt, an dem die Zuständigkeits-Engine Mehrwert schafft — indem sie den Bürger-Input vor der Partizipation der richtigen Ebene zuordnet.</w:t>
      </w:r>
    </w:p>
    <w:p>
      <w:pPr>
        <w:pStyle w:val="Heading2"/>
        <w:spacing w:after="120" w:before="240"/>
      </w:pPr>
      <w:r>
        <w:rPr>
          <w:b/>
          <w:bCs/>
        </w:rPr>
        <w:t xml:space="preserve">C.4 Übernahme für DeineStimme</w:t>
      </w:r>
    </w:p>
    <w:p>
      <w:pPr>
        <w:pStyle w:val="ListParagraph"/>
        <w:numPr>
          <w:ilvl w:val="0"/>
          <w:numId w:val="2"/>
        </w:numPr>
        <w:spacing w:after="80" w:line="280"/>
      </w:pPr>
      <w:r>
        <w:rPr>
          <w:b/>
          <w:bCs/>
        </w:rPr>
        <w:t xml:space="preserve">Aus Convention Citoyenne: </w:t>
      </w:r>
      <w:r>
        <w:t xml:space="preserve">Impact-Assessment-Modul mit zufällig ausgelosten Bürgern bei reifen Vorschlägen — war bereits in v0.3-Addendum identifiziert, wird jetzt mit FR-Referenzfall bestätigt.</w:t>
      </w:r>
    </w:p>
    <w:p>
      <w:pPr>
        <w:pStyle w:val="ListParagraph"/>
        <w:numPr>
          <w:ilvl w:val="0"/>
          <w:numId w:val="2"/>
        </w:numPr>
        <w:spacing w:after="80" w:line="280"/>
      </w:pPr>
      <w:r>
        <w:rPr>
          <w:b/>
          <w:bCs/>
        </w:rPr>
        <w:t xml:space="preserve">Aus République Numérique: </w:t>
      </w:r>
      <w:r>
        <w:t xml:space="preserve">Strukturierte Ministerialantwort auf jeden Vorschlag — Ablehnungsbegründung als Pflichtfeld.</w:t>
      </w:r>
    </w:p>
    <w:p>
      <w:pPr>
        <w:pStyle w:val="ListParagraph"/>
        <w:numPr>
          <w:ilvl w:val="0"/>
          <w:numId w:val="2"/>
        </w:numPr>
        <w:spacing w:after="80" w:line="280"/>
      </w:pPr>
      <w:r>
        <w:rPr>
          <w:b/>
          <w:bCs/>
        </w:rPr>
        <w:t xml:space="preserve">Aus Parlement &amp; Citoyens: </w:t>
      </w:r>
      <w:r>
        <w:t xml:space="preserve">Nachverfolgungssystem: welcher Bürgervorschlag wurde zu welchem Änderungsantrag?</w:t>
      </w:r>
    </w:p>
    <w:p>
      <w:pPr>
        <w:pStyle w:val="ListParagraph"/>
        <w:numPr>
          <w:ilvl w:val="0"/>
          <w:numId w:val="2"/>
        </w:numPr>
        <w:spacing w:after="80" w:line="280"/>
      </w:pPr>
      <w:r>
        <w:rPr>
          <w:b/>
          <w:bCs/>
        </w:rPr>
        <w:t xml:space="preserve">Aus IT: </w:t>
      </w:r>
      <w:r>
        <w:t xml:space="preserve">Die asymmetrische regionale Struktur rechtfertigt die Zuständigkeits-Engine als Vorschaltlogik. Ohne Ebenenzuordnung landet ein sizilianischer Tourismus-Vorschlag bei der nationalen Konsultation — wo er ignoriert wird. Die Engine löst dieses Routing-Problem.</w:t>
      </w:r>
    </w:p>
    <w:p>
      <w:pPr>
        <w:pStyle w:val="Heading1"/>
        <w:spacing w:after="180" w:before="360"/>
      </w:pPr>
      <w:r>
        <w:rPr>
          <w:b/>
          <w:bCs/>
        </w:rPr>
        <w:t xml:space="preserve">D. Datenquellen-Contract-Tests (neue Sektion)</w:t>
      </w:r>
    </w:p>
    <w:p>
      <w:pPr>
        <w:spacing w:after="120" w:line="300"/>
      </w:pPr>
      <w:r>
        <w:t xml:space="preserve">Ergänzungsrecherche April 2026 hat für BANATIC und Indice PA einen differenzierten Validierungsstand ergeben. Dieser Abschnitt konkretisiert den Test-Plan, um die in der Spec v0.5 ausgewiesenen Status-Zuschreibungen vor Produktionsintegration zu verifizieren.</w:t>
      </w:r>
    </w:p>
    <w:p>
      <w:pPr>
        <w:pStyle w:val="Heading2"/>
        <w:spacing w:after="120" w:before="240"/>
      </w:pPr>
      <w:r>
        <w:rPr>
          <w:b/>
          <w:bCs/>
        </w:rPr>
        <w:t xml:space="preserve">D.1 BANATIC — Test-Plan</w:t>
      </w:r>
    </w:p>
    <w:p>
      <w:pPr>
        <w:spacing w:after="120" w:line="300"/>
      </w:pPr>
      <w:r>
        <w:t xml:space="preserve">Status laut Spec v0.5: Batch validiert, API offen. Zu prüfen, bevor die Quelle in Phase 3c produktiv wird: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3000"/>
        <w:gridCol w:w="3626"/>
      </w:tblGrid>
      <w:tr>
        <w:trPr>
          <w:tblHeader/>
        </w:trPr>
        <w:tc>
          <w:tcPr>
            <w:tcW w:type="dxa" w:w="24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Test</w:t>
            </w:r>
          </w:p>
        </w:tc>
        <w:tc>
          <w:tcPr>
            <w:tcW w:type="dxa" w:w="30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Methode</w:t>
            </w:r>
          </w:p>
        </w:tc>
        <w:tc>
          <w:tcPr>
            <w:tcW w:type="dxa" w:w="36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Abnahmekriterium</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T1 — Download-Integrität</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SHA-256 der offiziellen CSV/XLSX-Dateien über 4 Wochen</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Konstante Hashes oder dokumentierte Änderungen mit Changelog</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T2 — Schema-Stabilität</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Spaltennamen/-typen zwischen zwei Download-Zeitpunkten diffen</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Keine Breaking Changes ohne Ankündigung (data.gouv.fr-Metadaten)</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T3 — INSEE↔SIREN-Mapping-Vollständigkeit</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Cross-Check: alle Commune-INSEE in SIREN-Passtabelle?</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100 % Coverage; Fehlmatches → Issue</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T4 — Aktualisierungsfrequenz</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Vergleich letzte Aktualisierung vs. dokumentierte Frequenz</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Bekanntermaßen nicht eingehalten → Engine akzeptiert Lag, warnt explizit</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T5 — API-Nichtexistenz-Bestätigung</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Suche nach dokumentierter BANATIC-Query-API mit Quota-Angaben</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Bestätigung: API nicht produktiv nutzbar → Batch-Only</w:t>
            </w:r>
          </w:p>
        </w:tc>
      </w:tr>
    </w:tbl>
    <w:p>
      <w:pPr>
        <w:pStyle w:val="Heading2"/>
        <w:spacing w:after="120" w:before="240"/>
      </w:pPr>
      <w:r>
        <w:rPr>
          <w:b/>
          <w:bCs/>
        </w:rPr>
        <w:t xml:space="preserve">D.2 Indice PA — Test-Plan</w:t>
      </w:r>
    </w:p>
    <w:p>
      <w:pPr>
        <w:spacing w:after="120" w:line="300"/>
      </w:pPr>
      <w:r>
        <w:t xml:space="preserve">Status laut Spec v0.5: Weitgehend validiert, Quoten offen. Besonderes Augenmerk auf die Dokumentationsinkonsistenz zwischen Manuale (SPARQL-Endpoint) und tatsächlichen CKAN-Endpunkten.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3000"/>
        <w:gridCol w:w="3626"/>
      </w:tblGrid>
      <w:tr>
        <w:trPr>
          <w:tblHeader/>
        </w:trPr>
        <w:tc>
          <w:tcPr>
            <w:tcW w:type="dxa" w:w="24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Test</w:t>
            </w:r>
          </w:p>
        </w:tc>
        <w:tc>
          <w:tcPr>
            <w:tcW w:type="dxa" w:w="3000"/>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Methode</w:t>
            </w:r>
          </w:p>
        </w:tc>
        <w:tc>
          <w:tcPr>
            <w:tcW w:type="dxa" w:w="3626"/>
            <w:tcBorders>
              <w:top w:val="single" w:color="B8B8B8" w:sz="1"/>
              <w:left w:val="single" w:color="B8B8B8" w:sz="1"/>
              <w:bottom w:val="single" w:color="B8B8B8" w:sz="1"/>
              <w:right w:val="single" w:color="B8B8B8" w:sz="1"/>
            </w:tcBorders>
            <w:shd w:fill="E8E8E8" w:val="clear"/>
            <w:tcMar>
              <w:top w:type="dxa" w:w="80"/>
              <w:left w:type="dxa" w:w="120"/>
              <w:bottom w:type="dxa" w:w="80"/>
              <w:right w:type="dxa" w:w="120"/>
            </w:tcMar>
          </w:tcPr>
          <w:p>
            <w:pPr>
              <w:spacing w:after="40" w:line="240"/>
            </w:pPr>
            <w:r>
              <w:rPr>
                <w:b/>
                <w:bCs/>
                <w:sz w:val="20"/>
                <w:szCs w:val="20"/>
              </w:rPr>
              <w:t xml:space="preserve">Abnahmekriterium</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T1 — Endpoint-Realität</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Tatsächliche API-Calls gegen datastore_search und datastore_search_sql</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Beide Endpunkte liefern strukturierte JSON-Responses; SPARQL-Endpoint existiert nicht bzw. ist Alias</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T2 — Data-Dictionary-Coverage</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Field-Map gegen Manuale-Dokumentation</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Vollständige Übereinstimmung zwischen Feldname/-typ und Dokumentation</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T3 — Rate-Limits</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Last-Test: 50/100/200 Requests/min gegen CKAN-Endpunkt</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Dokumentiertes Limit finden; Engine respektiert mit 20 %-Sicherheitsmarge</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T4 — SLA-Test</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Monitoring über 2 Wochen: Uptime, Response-Time, Fehlerrate</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 99 % Uptime, P95 &lt; 2s — sonst Caching-Layer zwingend</w:t>
            </w:r>
          </w:p>
        </w:tc>
      </w:tr>
      <w:tr>
        <w:tc>
          <w:tcPr>
            <w:tcW w:type="dxa" w:w="24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T5 — Schema-Stabilität</w:t>
            </w:r>
          </w:p>
        </w:tc>
        <w:tc>
          <w:tcPr>
            <w:tcW w:type="dxa" w:w="3000"/>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Diff zwischen zwei Abrufen im Abstand von 30 Tagen</w:t>
            </w:r>
          </w:p>
        </w:tc>
        <w:tc>
          <w:tcPr>
            <w:tcW w:type="dxa" w:w="3626"/>
            <w:tcBorders>
              <w:top w:val="single" w:color="B8B8B8" w:sz="1"/>
              <w:left w:val="single" w:color="B8B8B8" w:sz="1"/>
              <w:bottom w:val="single" w:color="B8B8B8" w:sz="1"/>
              <w:right w:val="single" w:color="B8B8B8" w:sz="1"/>
            </w:tcBorders>
            <w:tcMar>
              <w:top w:type="dxa" w:w="80"/>
              <w:left w:type="dxa" w:w="120"/>
              <w:bottom w:type="dxa" w:w="80"/>
              <w:right w:type="dxa" w:w="120"/>
            </w:tcMar>
          </w:tcPr>
          <w:p>
            <w:pPr>
              <w:spacing w:after="40" w:line="240"/>
            </w:pPr>
            <w:r>
              <w:rPr>
                <w:b w:val="false"/>
                <w:bCs w:val="false"/>
                <w:sz w:val="18"/>
                <w:szCs w:val="18"/>
              </w:rPr>
              <w:t xml:space="preserve">Keine Breaking Changes ohne Ankündigung (IPA-Changelog)</w:t>
            </w:r>
          </w:p>
        </w:tc>
      </w:tr>
    </w:tbl>
    <w:p>
      <w:pPr>
        <w:pStyle w:val="Heading2"/>
        <w:spacing w:after="120" w:before="240"/>
      </w:pPr>
      <w:r>
        <w:rPr>
          <w:b/>
          <w:bCs/>
        </w:rPr>
        <w:t xml:space="preserve">D.3 Querschnitts-Anforderung: source_capability_registry</w:t>
      </w:r>
    </w:p>
    <w:p>
      <w:pPr>
        <w:spacing w:after="120" w:line="300"/>
      </w:pPr>
      <w:r>
        <w:t xml:space="preserve">Aus der Ergänzungsrecherche übernommen (Abschnitt Umsetzbarer Patch): Die Engine führt ein Registry, das für jede Quelle drei Zustände unterscheidet — downloadfähig, API-validiert, Quota offen. Das verhindert, dass rechtliche und technische Unsicherheit in derselben Konfigurationsspalte verschwinden.</w:t>
      </w:r>
    </w:p>
    <w:p>
      <w:pPr>
        <w:shd w:fill="F2F2F2" w:val="clear"/>
        <w:spacing w:after="0" w:line="240"/>
      </w:pPr>
      <w:r>
        <w:rPr>
          <w:rFonts w:ascii="Consolas" w:cs="Consolas" w:eastAsia="Consolas" w:hAnsi="Consolas"/>
          <w:sz w:val="18"/>
          <w:szCs w:val="18"/>
        </w:rPr>
        <w:t xml:space="preserve">{</w:t>
      </w:r>
    </w:p>
    <w:p>
      <w:pPr>
        <w:shd w:fill="F2F2F2" w:val="clear"/>
        <w:spacing w:after="0" w:line="240"/>
      </w:pPr>
      <w:r>
        <w:rPr>
          <w:rFonts w:ascii="Consolas" w:cs="Consolas" w:eastAsia="Consolas" w:hAnsi="Consolas"/>
          <w:sz w:val="18"/>
          <w:szCs w:val="18"/>
        </w:rPr>
        <w:t xml:space="preserve">  "banatic": {</w:t>
      </w:r>
    </w:p>
    <w:p>
      <w:pPr>
        <w:shd w:fill="F2F2F2" w:val="clear"/>
        <w:spacing w:after="0" w:line="240"/>
      </w:pPr>
      <w:r>
        <w:rPr>
          <w:rFonts w:ascii="Consolas" w:cs="Consolas" w:eastAsia="Consolas" w:hAnsi="Consolas"/>
          <w:sz w:val="18"/>
          <w:szCs w:val="18"/>
        </w:rPr>
        <w:t xml:space="preserve">    "type": "dataset",</w:t>
      </w:r>
    </w:p>
    <w:p>
      <w:pPr>
        <w:shd w:fill="F2F2F2" w:val="clear"/>
        <w:spacing w:after="0" w:line="240"/>
      </w:pPr>
      <w:r>
        <w:rPr>
          <w:rFonts w:ascii="Consolas" w:cs="Consolas" w:eastAsia="Consolas" w:hAnsi="Consolas"/>
          <w:sz w:val="18"/>
          <w:szCs w:val="18"/>
        </w:rPr>
        <w:t xml:space="preserve">    "access": {</w:t>
      </w:r>
    </w:p>
    <w:p>
      <w:pPr>
        <w:shd w:fill="F2F2F2" w:val="clear"/>
        <w:spacing w:after="0" w:line="240"/>
      </w:pPr>
      <w:r>
        <w:rPr>
          <w:rFonts w:ascii="Consolas" w:cs="Consolas" w:eastAsia="Consolas" w:hAnsi="Consolas"/>
          <w:sz w:val="18"/>
          <w:szCs w:val="18"/>
        </w:rPr>
        <w:t xml:space="preserve">      "download": { "status": "validated", "formats": ["csv", "xlsx"] },</w:t>
      </w:r>
    </w:p>
    <w:p>
      <w:pPr>
        <w:shd w:fill="F2F2F2" w:val="clear"/>
        <w:spacing w:after="0" w:line="240"/>
      </w:pPr>
      <w:r>
        <w:rPr>
          <w:rFonts w:ascii="Consolas" w:cs="Consolas" w:eastAsia="Consolas" w:hAnsi="Consolas"/>
          <w:sz w:val="18"/>
          <w:szCs w:val="18"/>
        </w:rPr>
        <w:t xml:space="preserve">      "query_api": { "status": "unavailable", "note": "no documented API" }</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    "update_frequency": "declared_monthly_but_irregular",</w:t>
      </w:r>
    </w:p>
    <w:p>
      <w:pPr>
        <w:shd w:fill="F2F2F2" w:val="clear"/>
        <w:spacing w:after="0" w:line="240"/>
      </w:pPr>
      <w:r>
        <w:rPr>
          <w:rFonts w:ascii="Consolas" w:cs="Consolas" w:eastAsia="Consolas" w:hAnsi="Consolas"/>
          <w:sz w:val="18"/>
          <w:szCs w:val="18"/>
        </w:rPr>
        <w:t xml:space="preserve">    "version": "2026-04-15"</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  "indice_pa": {</w:t>
      </w:r>
    </w:p>
    <w:p>
      <w:pPr>
        <w:shd w:fill="F2F2F2" w:val="clear"/>
        <w:spacing w:after="0" w:line="240"/>
      </w:pPr>
      <w:r>
        <w:rPr>
          <w:rFonts w:ascii="Consolas" w:cs="Consolas" w:eastAsia="Consolas" w:hAnsi="Consolas"/>
          <w:sz w:val="18"/>
          <w:szCs w:val="18"/>
        </w:rPr>
        <w:t xml:space="preserve">    "type": "dataset + api",</w:t>
      </w:r>
    </w:p>
    <w:p>
      <w:pPr>
        <w:shd w:fill="F2F2F2" w:val="clear"/>
        <w:spacing w:after="0" w:line="240"/>
      </w:pPr>
      <w:r>
        <w:rPr>
          <w:rFonts w:ascii="Consolas" w:cs="Consolas" w:eastAsia="Consolas" w:hAnsi="Consolas"/>
          <w:sz w:val="18"/>
          <w:szCs w:val="18"/>
        </w:rPr>
        <w:t xml:space="preserve">    "access": {</w:t>
      </w:r>
    </w:p>
    <w:p>
      <w:pPr>
        <w:shd w:fill="F2F2F2" w:val="clear"/>
        <w:spacing w:after="0" w:line="240"/>
      </w:pPr>
      <w:r>
        <w:rPr>
          <w:rFonts w:ascii="Consolas" w:cs="Consolas" w:eastAsia="Consolas" w:hAnsi="Consolas"/>
          <w:sz w:val="18"/>
          <w:szCs w:val="18"/>
        </w:rPr>
        <w:t xml:space="preserve">      "download": { "status": "validated", "formats": ["txt", "xlsx"] },</w:t>
      </w:r>
    </w:p>
    <w:p>
      <w:pPr>
        <w:shd w:fill="F2F2F2" w:val="clear"/>
        <w:spacing w:after="0" w:line="240"/>
      </w:pPr>
      <w:r>
        <w:rPr>
          <w:rFonts w:ascii="Consolas" w:cs="Consolas" w:eastAsia="Consolas" w:hAnsi="Consolas"/>
          <w:sz w:val="18"/>
          <w:szCs w:val="18"/>
        </w:rPr>
        <w:t xml:space="preserve">      "query_api": {</w:t>
      </w:r>
    </w:p>
    <w:p>
      <w:pPr>
        <w:shd w:fill="F2F2F2" w:val="clear"/>
        <w:spacing w:after="0" w:line="240"/>
      </w:pPr>
      <w:r>
        <w:rPr>
          <w:rFonts w:ascii="Consolas" w:cs="Consolas" w:eastAsia="Consolas" w:hAnsi="Consolas"/>
          <w:sz w:val="18"/>
          <w:szCs w:val="18"/>
        </w:rPr>
        <w:t xml:space="preserve">        "status": "validated_endpoint_quota_open",</w:t>
      </w:r>
    </w:p>
    <w:p>
      <w:pPr>
        <w:shd w:fill="F2F2F2" w:val="clear"/>
        <w:spacing w:after="0" w:line="240"/>
      </w:pPr>
      <w:r>
        <w:rPr>
          <w:rFonts w:ascii="Consolas" w:cs="Consolas" w:eastAsia="Consolas" w:hAnsi="Consolas"/>
          <w:sz w:val="18"/>
          <w:szCs w:val="18"/>
        </w:rPr>
        <w:t xml:space="preserve">        "endpoints": ["datastore_search", "datastore_search_sql"]</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    "contract_test_status": "pending",</w:t>
      </w:r>
    </w:p>
    <w:p>
      <w:pPr>
        <w:shd w:fill="F2F2F2" w:val="clear"/>
        <w:spacing w:after="0" w:line="240"/>
      </w:pPr>
      <w:r>
        <w:rPr>
          <w:rFonts w:ascii="Consolas" w:cs="Consolas" w:eastAsia="Consolas" w:hAnsi="Consolas"/>
          <w:sz w:val="18"/>
          <w:szCs w:val="18"/>
        </w:rPr>
        <w:t xml:space="preserve">    "version": "2026-04-15"</w:t>
      </w:r>
    </w:p>
    <w:p>
      <w:pPr>
        <w:shd w:fill="F2F2F2" w:val="clear"/>
        <w:spacing w:after="0" w:line="240"/>
      </w:pPr>
      <w:r>
        <w:rPr>
          <w:rFonts w:ascii="Consolas" w:cs="Consolas" w:eastAsia="Consolas" w:hAnsi="Consolas"/>
          <w:sz w:val="18"/>
          <w:szCs w:val="18"/>
        </w:rPr>
        <w:t xml:space="preserve">  }</w:t>
      </w:r>
    </w:p>
    <w:p>
      <w:pPr>
        <w:shd w:fill="F2F2F2" w:val="clear"/>
        <w:spacing w:after="0" w:line="240"/>
      </w:pPr>
      <w:r>
        <w:rPr>
          <w:rFonts w:ascii="Consolas" w:cs="Consolas" w:eastAsia="Consolas" w:hAnsi="Consolas"/>
          <w:sz w:val="18"/>
          <w:szCs w:val="18"/>
        </w:rPr>
        <w:t xml:space="preserve">}</w:t>
      </w:r>
    </w:p>
    <w:p>
      <w:pPr>
        <w:pStyle w:val="Heading2"/>
        <w:spacing w:after="120" w:before="240"/>
      </w:pPr>
      <w:r>
        <w:rPr>
          <w:b/>
          <w:bCs/>
        </w:rPr>
        <w:t xml:space="preserve">D.4 Quellenkern Phase 3c/3d (FR + IT kombiniert)</w:t>
      </w:r>
    </w:p>
    <w:p>
      <w:pPr>
        <w:spacing w:after="120" w:line="300"/>
      </w:pPr>
      <w:r>
        <w:t xml:space="preserve">Konsolidierte Primärquellen für die Implementation, geordnet nach Priorität:</w:t>
      </w:r>
    </w:p>
    <w:p>
      <w:pPr>
        <w:pStyle w:val="ListParagraph"/>
        <w:numPr>
          <w:ilvl w:val="0"/>
          <w:numId w:val="2"/>
        </w:numPr>
        <w:spacing w:after="80" w:line="280"/>
      </w:pPr>
      <w:r>
        <w:rPr>
          <w:b/>
          <w:bCs/>
        </w:rPr>
        <w:t xml:space="preserve">FR horizontal: </w:t>
      </w:r>
      <w:r>
        <w:t xml:space="preserve">Constitution (Art. 72–74), CGCT (Collectivités + EPCI-Artikel L5214–L5217), Loi NOTRe, Code de l'environnement, Code de la santé publique.</w:t>
      </w:r>
    </w:p>
    <w:p>
      <w:pPr>
        <w:pStyle w:val="ListParagraph"/>
        <w:numPr>
          <w:ilvl w:val="0"/>
          <w:numId w:val="2"/>
        </w:numPr>
        <w:spacing w:after="80" w:line="280"/>
      </w:pPr>
      <w:r>
        <w:rPr>
          <w:b/>
          <w:bCs/>
        </w:rPr>
        <w:t xml:space="preserve">FR Sonderstatut: </w:t>
      </w:r>
      <w:r>
        <w:t xml:space="preserve">CGCT-Titel Paris (L2512), Lyon (L3611 ff.), Corse (L4421 ff.); organische Statutsgesetze Art. 74-Einheiten; Guide de légistique (aktualisierte Fiches zu Art. 73/74).</w:t>
      </w:r>
    </w:p>
    <w:p>
      <w:pPr>
        <w:pStyle w:val="ListParagraph"/>
        <w:numPr>
          <w:ilvl w:val="0"/>
          <w:numId w:val="2"/>
        </w:numPr>
        <w:spacing w:after="80" w:line="280"/>
      </w:pPr>
      <w:r>
        <w:rPr>
          <w:b/>
          <w:bCs/>
        </w:rPr>
        <w:t xml:space="preserve">FR Rechtsprechung: </w:t>
      </w:r>
      <w:r>
        <w:t xml:space="preserve">Arcelor (CE 08.02.2007), French Data Network (CE 21.04.2021), weitere Conseil-constitutionnel-Entscheidungen zu verfassungsrechtlicher Identität.</w:t>
      </w:r>
    </w:p>
    <w:p>
      <w:pPr>
        <w:pStyle w:val="ListParagraph"/>
        <w:numPr>
          <w:ilvl w:val="0"/>
          <w:numId w:val="2"/>
        </w:numPr>
        <w:spacing w:after="80" w:line="280"/>
      </w:pPr>
      <w:r>
        <w:rPr>
          <w:b/>
          <w:bCs/>
        </w:rPr>
        <w:t xml:space="preserve">IT horizontal: </w:t>
      </w:r>
      <w:r>
        <w:t xml:space="preserve">Costituzione Art. 114–119, TUEL (D.Lgs. 267/2000), sektorale Gesetze (D.Lgs. 152/2006 Umwelt, Codice Privacy).</w:t>
      </w:r>
    </w:p>
    <w:p>
      <w:pPr>
        <w:pStyle w:val="ListParagraph"/>
        <w:numPr>
          <w:ilvl w:val="0"/>
          <w:numId w:val="2"/>
        </w:numPr>
        <w:spacing w:after="80" w:line="280"/>
      </w:pPr>
      <w:r>
        <w:rPr>
          <w:b/>
          <w:bCs/>
        </w:rPr>
        <w:t xml:space="preserve">IT Sonderstatut: </w:t>
      </w:r>
      <w:r>
        <w:t xml:space="preserve">Sicilia Statuto Art. 14/17 + 2025er Finanznormen; Sardegna Statuto Art. 3 + Durchführungsnormen; Valle d'Aosta Statuto + regionale/kommunale Finanzordnung; Friuli-Venezia Giulia Statuto Art. 4 + 2026er Verfassungsgesetz; Trento/Bolzano Statuto Art. 8.</w:t>
      </w:r>
    </w:p>
    <w:p>
      <w:pPr>
        <w:pStyle w:val="ListParagraph"/>
        <w:numPr>
          <w:ilvl w:val="0"/>
          <w:numId w:val="2"/>
        </w:numPr>
        <w:spacing w:after="80" w:line="280"/>
      </w:pPr>
      <w:r>
        <w:rPr>
          <w:b/>
          <w:bCs/>
        </w:rPr>
        <w:t xml:space="preserve">IT Rechtsprechung: </w:t>
      </w:r>
      <w:r>
        <w:t xml:space="preserve">Granital 170/1984, Taricco I (C-105/14), Ordinanza 24/2017, Taricco II (C-42/17), Sent. 115/2018, Sent. 269/2017; laufend aktualisierte materie-trasversali-Rspr.</w:t>
      </w:r>
    </w:p>
    <w:p>
      <w:pPr>
        <w:spacing w:after="120"/>
      </w:pPr>
      <w:r>
        <w:t xml:space="preserve"/>
      </w:r>
    </w:p>
    <w:p>
      <w:pPr>
        <w:spacing w:after="120" w:line="300"/>
      </w:pPr>
      <w:r>
        <w:rPr>
          <w:i/>
          <w:iCs/>
          <w:color w:val="5A6068"/>
        </w:rPr>
        <w:t xml:space="preserve">Grundlage: v0.3-Addendum-Struktur (Sektionen A, B, C), erweitert um D (Datenquellen-Contract-Tests aus Ergänzungsrecherche 04/2026). Alle Mapping-Beispiele auditfähig — LLM-Vorschlag + juristische Validierung + Hash-Signatur. Alle Quellen offen zugänglich und maschinenlesbar. Stand: 19. April 2026.</w:t>
      </w:r>
    </w:p>
    <w:p>
      <w:pPr>
        <w:spacing w:after="120" w:line="300"/>
      </w:pPr>
      <w:r>
        <w:rPr>
          <w:i/>
          <w:iCs/>
          <w:color w:val="5A6068"/>
        </w:rPr>
        <w:t xml:space="preserve">AGPL-3.0 | DeineStimme.org | Zuständigkeits-Engine Addendum v0.5</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C8D0" w:sz="4" w:space="4"/>
      </w:pBdr>
      <w:tabs>
        <w:tab w:val="right" w:pos="9026"/>
      </w:tabs>
    </w:pPr>
    <w:r>
      <w:rPr>
        <w:color w:val="5A6068"/>
        <w:sz w:val="18"/>
        <w:szCs w:val="18"/>
      </w:rPr>
      <w:t xml:space="preserve">AGPL-3.0</w:t>
    </w:r>
    <w:r>
      <w:rPr>
        <w:sz w:val="18"/>
        <w:szCs w:val="18"/>
      </w:rPr>
      <w:t xml:space="preserve">	</w:t>
    </w:r>
    <w:r>
      <w:rPr>
        <w:color w:val="5A6068"/>
        <w:sz w:val="18"/>
        <w:szCs w:val="18"/>
      </w:rPr>
      <w:t xml:space="preserve">Seite </w:t>
    </w:r>
    <w:r>
      <w:rPr>
        <w:color w:val="5A6068"/>
        <w:sz w:val="18"/>
        <w:szCs w:val="18"/>
      </w:rPr>
      <w:fldChar w:fldCharType="begin"/>
      <w:instrText xml:space="preserve">PAGE</w:instrText>
      <w:fldChar w:fldCharType="separate"/>
      <w:fldChar w:fldCharType="end"/>
    </w:r>
    <w:r>
      <w:rPr>
        <w:color w:val="5A6068"/>
        <w:sz w:val="18"/>
        <w:szCs w:val="18"/>
      </w:rPr>
      <w:t xml:space="preserve"> von </w:t>
    </w:r>
    <w:r>
      <w:rPr>
        <w:color w:val="5A606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0C8D0" w:sz="4" w:space="4"/>
      </w:pBdr>
      <w:spacing w:after="0"/>
    </w:pPr>
    <w:r>
      <w:rPr>
        <w:i/>
        <w:iCs/>
        <w:color w:val="5A6068"/>
        <w:sz w:val="18"/>
        <w:szCs w:val="18"/>
      </w:rPr>
      <w:t xml:space="preserve">DeineStimme.org  |  Zuständigkeits-Engine Addendum v0.5 — FR/IT-Erweiterung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Calibri" w:cs="Calibri" w:eastAsia="Calibri" w:hAnsi="Calibri"/>
      <w:b/>
      <w:bCs/>
      <w:color w:val="0B0B0F"/>
      <w:sz w:val="28"/>
      <w:szCs w:val="28"/>
    </w:rPr>
  </w:style>
  <w:style w:type="paragraph" w:styleId="Heading2">
    <w:name w:val="Heading 2"/>
    <w:basedOn w:val="Normal"/>
    <w:next w:val="Normal"/>
    <w:qFormat/>
    <w:pPr>
      <w:spacing w:after="120" w:before="240"/>
      <w:outlineLvl w:val="1"/>
    </w:pPr>
    <w:rPr>
      <w:rFonts w:ascii="Calibri" w:cs="Calibri" w:eastAsia="Calibri" w:hAnsi="Calibri"/>
      <w:b/>
      <w:bCs/>
      <w:color w:val="0B0B0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Zuständigkeits-Engine Addendum v0.5</dc:title>
  <dc:creator>DeineStimme.org</dc:creator>
  <cp:lastModifiedBy>Un-named</cp:lastModifiedBy>
  <cp:revision>1</cp:revision>
  <dcterms:created xsi:type="dcterms:W3CDTF">2026-04-19T14:46:07.339Z</dcterms:created>
  <dcterms:modified xsi:type="dcterms:W3CDTF">2026-04-19T14:46:07.340Z</dcterms:modified>
</cp:coreProperties>
</file>

<file path=docProps/custom.xml><?xml version="1.0" encoding="utf-8"?>
<Properties xmlns="http://schemas.openxmlformats.org/officeDocument/2006/custom-properties" xmlns:vt="http://schemas.openxmlformats.org/officeDocument/2006/docPropsVTypes"/>
</file>